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1"/>
        <w:tblpPr w:leftFromText="180" w:rightFromText="180" w:vertAnchor="text" w:horzAnchor="margin" w:tblpY="-920"/>
        <w:tblOverlap w:val="never"/>
        <w:tblW w:w="5000" w:type="pct"/>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3107"/>
        <w:gridCol w:w="3061"/>
        <w:gridCol w:w="3074"/>
      </w:tblGrid>
      <w:tr w14:paraId="1B35C61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993" w:hRule="atLeast"/>
        </w:trPr>
        <w:tc>
          <w:tcPr>
            <w:tcW w:w="1681" w:type="pct"/>
          </w:tcPr>
          <w:p w14:paraId="5594B2AD">
            <w:pPr>
              <w:ind w:firstLine="0" w:firstLineChars="0"/>
              <w:jc w:val="center"/>
              <w:rPr>
                <w:rFonts w:cs="Times New Roman"/>
              </w:rPr>
            </w:pPr>
            <w:r>
              <w:rPr>
                <w:rFonts w:cs="Times New Roman"/>
                <w:b/>
                <w:szCs w:val="24"/>
              </w:rPr>
              <w:t>Problem Chosen</w:t>
            </w:r>
            <w:r>
              <w:rPr>
                <w:rFonts w:cs="Times New Roman"/>
                <w:b/>
              </w:rPr>
              <w:br w:type="textWrapping"/>
            </w:r>
            <w:r>
              <w:rPr>
                <w:rFonts w:hint="eastAsia" w:cs="Times New Roman"/>
                <w:sz w:val="40"/>
                <w:szCs w:val="40"/>
              </w:rPr>
              <w:t>A</w:t>
            </w:r>
          </w:p>
        </w:tc>
        <w:tc>
          <w:tcPr>
            <w:tcW w:w="1656" w:type="pct"/>
          </w:tcPr>
          <w:p w14:paraId="44978A03">
            <w:pPr>
              <w:ind w:firstLine="0" w:firstLineChars="0"/>
              <w:jc w:val="center"/>
              <w:rPr>
                <w:rFonts w:cs="Times New Roman"/>
              </w:rPr>
            </w:pPr>
            <w:r>
              <w:rPr>
                <w:rFonts w:cs="Times New Roman"/>
                <w:b/>
                <w:bCs/>
                <w:szCs w:val="24"/>
              </w:rPr>
              <w:t>202</w:t>
            </w:r>
            <w:r>
              <w:rPr>
                <w:rFonts w:hint="eastAsia" w:cs="Times New Roman"/>
                <w:b/>
                <w:bCs/>
                <w:szCs w:val="24"/>
              </w:rPr>
              <w:t>6</w:t>
            </w:r>
            <w:r>
              <w:rPr>
                <w:rFonts w:cs="Times New Roman"/>
                <w:b/>
                <w:bCs/>
                <w:szCs w:val="24"/>
              </w:rPr>
              <w:br w:type="textWrapping"/>
            </w:r>
            <w:r>
              <w:rPr>
                <w:rFonts w:cs="Times New Roman"/>
                <w:b/>
                <w:bCs/>
                <w:szCs w:val="24"/>
              </w:rPr>
              <w:t>MCM/ICM</w:t>
            </w:r>
            <w:r>
              <w:rPr>
                <w:rFonts w:cs="Times New Roman"/>
                <w:b/>
                <w:bCs/>
                <w:szCs w:val="24"/>
              </w:rPr>
              <w:br w:type="textWrapping"/>
            </w:r>
            <w:r>
              <w:rPr>
                <w:rFonts w:cs="Times New Roman"/>
                <w:b/>
                <w:bCs/>
                <w:szCs w:val="24"/>
              </w:rPr>
              <w:t>Summary Sheet</w:t>
            </w:r>
          </w:p>
        </w:tc>
        <w:tc>
          <w:tcPr>
            <w:tcW w:w="1664" w:type="pct"/>
          </w:tcPr>
          <w:p w14:paraId="049675E7">
            <w:pPr>
              <w:ind w:firstLine="0" w:firstLineChars="0"/>
              <w:jc w:val="center"/>
              <w:rPr>
                <w:rFonts w:cs="Times New Roman"/>
              </w:rPr>
            </w:pPr>
            <w:r>
              <w:rPr>
                <w:rFonts w:cs="Times New Roman"/>
                <w:b/>
                <w:szCs w:val="24"/>
              </w:rPr>
              <w:t>Team Control Number</w:t>
            </w:r>
            <w:r>
              <w:rPr>
                <w:rFonts w:cs="Times New Roman"/>
                <w:b/>
              </w:rPr>
              <w:br w:type="textWrapping"/>
            </w:r>
            <w:r>
              <w:rPr>
                <w:rFonts w:hint="eastAsia" w:cs="Times New Roman"/>
                <w:sz w:val="40"/>
                <w:szCs w:val="40"/>
              </w:rPr>
              <w:t>2620627</w:t>
            </w:r>
          </w:p>
        </w:tc>
      </w:tr>
    </w:tbl>
    <w:p w14:paraId="14269CC5">
      <w:pPr>
        <w:ind w:firstLine="0" w:firstLineChars="0"/>
        <w:jc w:val="center"/>
        <w:rPr>
          <w:rFonts w:hint="eastAsia"/>
          <w:b/>
          <w:bCs/>
          <w:sz w:val="32"/>
          <w:szCs w:val="28"/>
        </w:rPr>
      </w:pPr>
      <w:r>
        <w:rPr>
          <w:rFonts w:cs="Times New Roman"/>
        </w:rPr>
        <w:pict>
          <v:rect id="_x0000_i1025" o:spt="1" style="height:1.5pt;width:468pt;" fillcolor="#000000" filled="t" stroked="f" coordsize="21600,21600" o:hr="t" o:hrstd="t" o:hrnoshade="t" o:hralign="center">
            <v:path/>
            <v:fill on="t" focussize="0,0"/>
            <v:stroke on="f"/>
            <v:imagedata o:title=""/>
            <o:lock v:ext="edit"/>
            <w10:wrap type="none"/>
            <w10:anchorlock/>
          </v:rect>
        </w:pict>
      </w:r>
      <w:r>
        <w:t xml:space="preserve"> </w:t>
      </w:r>
      <w:r>
        <w:rPr>
          <w:b/>
          <w:bCs/>
          <w:sz w:val="32"/>
          <w:szCs w:val="28"/>
        </w:rPr>
        <w:t>From Usage to Shutdown: The Secrets Behind Battery Drain</w:t>
      </w:r>
    </w:p>
    <w:p w14:paraId="75C77DE7">
      <w:pPr>
        <w:ind w:firstLine="0" w:firstLineChars="0"/>
        <w:jc w:val="center"/>
        <w:rPr>
          <w:b/>
          <w:bCs/>
          <w:sz w:val="28"/>
          <w:szCs w:val="24"/>
        </w:rPr>
      </w:pPr>
      <w:r>
        <w:rPr>
          <w:b/>
          <w:bCs/>
          <w:sz w:val="28"/>
          <w:szCs w:val="24"/>
        </w:rPr>
        <w:t>Summary</w:t>
      </w:r>
    </w:p>
    <w:p w14:paraId="1177634F">
      <w:pPr>
        <w:keepNext w:val="0"/>
        <w:keepLines w:val="0"/>
        <w:pageBreakBefore w:val="0"/>
        <w:widowControl w:val="0"/>
        <w:kinsoku/>
        <w:wordWrap/>
        <w:overflowPunct/>
        <w:topLinePunct w:val="0"/>
        <w:autoSpaceDE/>
        <w:autoSpaceDN/>
        <w:bidi w:val="0"/>
        <w:adjustRightInd/>
        <w:snapToGrid w:val="0"/>
        <w:ind w:firstLine="480"/>
        <w:textAlignment w:val="auto"/>
        <w:rPr>
          <w:rFonts w:hint="eastAsia"/>
        </w:rPr>
      </w:pPr>
      <w:r>
        <w:t xml:space="preserve">Have you ever experienced battery anxiety? Smartphone battery consumption is determined by numerous factors, making it difficult to predict. To achieve accurate prediction of the battery's state of charge (SOC), we develop a Physical mechanism-grounded continuous-time model, which comprises an </w:t>
      </w:r>
      <w:r>
        <w:rPr>
          <w:b/>
          <w:bCs/>
        </w:rPr>
        <w:t>Internal</w:t>
      </w:r>
      <w:r>
        <w:t xml:space="preserve"> Physics Model and an </w:t>
      </w:r>
      <w:r>
        <w:rPr>
          <w:b/>
          <w:bCs/>
        </w:rPr>
        <w:t>External</w:t>
      </w:r>
      <w:r>
        <w:t xml:space="preserve"> Component Power Consumption Model. This </w:t>
      </w:r>
      <w:r>
        <w:rPr>
          <w:rFonts w:hint="eastAsia"/>
        </w:rPr>
        <w:t>model</w:t>
      </w:r>
      <w:r>
        <w:t xml:space="preserve"> investigates the key parameters influencing both </w:t>
      </w:r>
      <w:r>
        <w:rPr>
          <w:rFonts w:hint="eastAsia"/>
        </w:rPr>
        <w:t>rapid drain</w:t>
      </w:r>
      <w:r>
        <w:t xml:space="preserve"> and battery health</w:t>
      </w:r>
      <w:r>
        <w:rPr>
          <w:rFonts w:hint="eastAsia"/>
        </w:rPr>
        <w:t xml:space="preserve">, </w:t>
      </w:r>
      <w:r>
        <w:t xml:space="preserve">and established an </w:t>
      </w:r>
      <w:r>
        <w:rPr>
          <w:rFonts w:hint="eastAsia"/>
        </w:rPr>
        <w:t>i</w:t>
      </w:r>
      <w:r>
        <w:t>ntelligent power regulation method.</w:t>
      </w:r>
    </w:p>
    <w:p w14:paraId="592AFC48">
      <w:pPr>
        <w:keepNext w:val="0"/>
        <w:keepLines w:val="0"/>
        <w:pageBreakBefore w:val="0"/>
        <w:widowControl w:val="0"/>
        <w:kinsoku/>
        <w:wordWrap/>
        <w:overflowPunct/>
        <w:topLinePunct w:val="0"/>
        <w:autoSpaceDE/>
        <w:autoSpaceDN/>
        <w:bidi w:val="0"/>
        <w:adjustRightInd/>
        <w:snapToGrid w:val="0"/>
        <w:ind w:firstLine="480"/>
        <w:textAlignment w:val="auto"/>
      </w:pPr>
      <w:r>
        <w:rPr>
          <w:rFonts w:hint="eastAsia"/>
        </w:rPr>
        <w:t xml:space="preserve">For </w:t>
      </w:r>
      <w:r>
        <w:rPr>
          <w:b/>
          <w:bCs/>
        </w:rPr>
        <w:t>Internal</w:t>
      </w:r>
      <w:r>
        <w:t xml:space="preserve"> Physics Model</w:t>
      </w:r>
      <w:r>
        <w:rPr>
          <w:rFonts w:hint="eastAsia"/>
        </w:rPr>
        <w:t>,</w:t>
      </w:r>
      <w:r>
        <w:rPr>
          <w:rFonts w:cs="Times New Roman"/>
          <w:kern w:val="0"/>
        </w:rPr>
        <w:t xml:space="preserve"> we introduced </w:t>
      </w:r>
      <w:r>
        <w:rPr>
          <w:rFonts w:hint="eastAsia" w:cs="Times New Roman"/>
          <w:kern w:val="0"/>
        </w:rPr>
        <w:t>three</w:t>
      </w:r>
      <w:r>
        <w:rPr>
          <w:rFonts w:cs="Times New Roman"/>
          <w:kern w:val="0"/>
        </w:rPr>
        <w:t xml:space="preserve"> submodels that form a hybrid wear framework</w:t>
      </w:r>
      <w:r>
        <w:rPr>
          <w:rFonts w:hint="eastAsia" w:cs="Times New Roman"/>
          <w:kern w:val="0"/>
          <w:lang w:val="en-US" w:eastAsia="zh-CN"/>
        </w:rPr>
        <w:t xml:space="preserve">. </w:t>
      </w:r>
      <w:r>
        <w:rPr>
          <w:rFonts w:hint="eastAsia" w:cs="Times New Roman"/>
          <w:kern w:val="0"/>
        </w:rPr>
        <w:t xml:space="preserve">Submodel </w:t>
      </w:r>
      <w:r>
        <w:rPr>
          <w:rFonts w:hint="eastAsia" w:cs="Times New Roman"/>
          <w:i/>
          <w:iCs/>
          <w:kern w:val="0"/>
        </w:rPr>
        <w:t>i</w:t>
      </w:r>
      <w:r>
        <w:rPr>
          <w:rFonts w:hint="eastAsia" w:cs="Times New Roman"/>
          <w:i/>
          <w:iCs/>
          <w:kern w:val="0"/>
          <w:lang w:val="en-US" w:eastAsia="zh-CN"/>
        </w:rPr>
        <w:t xml:space="preserve"> </w:t>
      </w:r>
      <w:r>
        <w:rPr>
          <w:rFonts w:hint="eastAsia" w:cs="Times New Roman"/>
          <w:kern w:val="0"/>
        </w:rPr>
        <w:t>,</w:t>
      </w:r>
      <w:r>
        <w:rPr>
          <w:rFonts w:hint="eastAsia" w:cs="Times New Roman"/>
          <w:kern w:val="0"/>
          <w:lang w:val="en-US" w:eastAsia="zh-CN"/>
        </w:rPr>
        <w:t xml:space="preserve"> </w:t>
      </w:r>
      <w:r>
        <w:rPr>
          <w:rFonts w:hint="eastAsia" w:cs="Times New Roman"/>
          <w:kern w:val="0"/>
        </w:rPr>
        <w:t>grounded</w:t>
      </w:r>
      <w:r>
        <w:t xml:space="preserve"> charge conservation</w:t>
      </w:r>
      <w:r>
        <w:rPr>
          <w:rFonts w:hint="eastAsia"/>
        </w:rPr>
        <w:t>,</w:t>
      </w:r>
      <w:r>
        <w:t xml:space="preserve"> with capacity corrected by temperature and state of health (SOH);</w:t>
      </w:r>
      <w:r>
        <w:rPr>
          <w:rFonts w:hint="eastAsia"/>
        </w:rPr>
        <w:t xml:space="preserve"> Submodel </w:t>
      </w:r>
      <w:r>
        <w:rPr>
          <w:rFonts w:hint="eastAsia"/>
          <w:i/>
          <w:iCs/>
        </w:rPr>
        <w:t>ii</w:t>
      </w:r>
      <w:r>
        <w:t xml:space="preserve"> </w:t>
      </w:r>
      <w:r>
        <w:rPr>
          <w:rFonts w:hint="eastAsia"/>
        </w:rPr>
        <w:t>:</w:t>
      </w:r>
      <w:r>
        <w:t>terminal voltage is computed by a first-order Thevenin ECM with an improved Shepherd OCV</w:t>
      </w:r>
      <w:r>
        <w:rPr>
          <w:rFonts w:hint="eastAsia"/>
        </w:rPr>
        <w:t>–</w:t>
      </w:r>
      <w:r>
        <w:t>SOC nonlinearity and an RC polarization branch,</w:t>
      </w:r>
      <w:r>
        <w:rPr>
          <w:rFonts w:hint="eastAsia"/>
        </w:rPr>
        <w:t xml:space="preserve"> Submodel </w:t>
      </w:r>
      <w:r>
        <w:rPr>
          <w:rFonts w:hint="eastAsia"/>
          <w:i/>
          <w:iCs/>
        </w:rPr>
        <w:t>iii</w:t>
      </w:r>
      <w:r>
        <w:rPr>
          <w:rFonts w:hint="eastAsia"/>
        </w:rPr>
        <w:t xml:space="preserve"> :</w:t>
      </w:r>
      <w:r>
        <w:t>an electrical</w:t>
      </w:r>
      <w:r>
        <w:rPr>
          <w:rFonts w:hint="eastAsia"/>
        </w:rPr>
        <w:t>-</w:t>
      </w:r>
      <w:r>
        <w:t>thermal</w:t>
      </w:r>
      <w:r>
        <w:rPr>
          <w:rFonts w:hint="eastAsia"/>
        </w:rPr>
        <w:t>-</w:t>
      </w:r>
      <w:r>
        <w:t>SOH</w:t>
      </w:r>
      <w:r>
        <w:rPr>
          <w:rFonts w:hint="eastAsia"/>
        </w:rPr>
        <w:t>(</w:t>
      </w:r>
      <w:r>
        <w:rPr>
          <w:rFonts w:hint="eastAsia"/>
          <w:b/>
          <w:bCs/>
        </w:rPr>
        <w:t>ETS</w:t>
      </w:r>
      <w:r>
        <w:rPr>
          <w:rFonts w:hint="eastAsia"/>
        </w:rPr>
        <w:t>)</w:t>
      </w:r>
      <w:r>
        <w:t xml:space="preserve"> coupling links temperature, resistance growth, and ageing</w:t>
      </w:r>
      <w:r>
        <w:rPr>
          <w:rFonts w:hint="eastAsia"/>
        </w:rPr>
        <w:t>.</w:t>
      </w:r>
    </w:p>
    <w:p w14:paraId="77077C44">
      <w:pPr>
        <w:keepNext w:val="0"/>
        <w:keepLines w:val="0"/>
        <w:pageBreakBefore w:val="0"/>
        <w:widowControl w:val="0"/>
        <w:kinsoku/>
        <w:wordWrap/>
        <w:overflowPunct/>
        <w:topLinePunct w:val="0"/>
        <w:autoSpaceDE/>
        <w:autoSpaceDN/>
        <w:bidi w:val="0"/>
        <w:adjustRightInd/>
        <w:snapToGrid w:val="0"/>
        <w:ind w:firstLine="480"/>
        <w:textAlignment w:val="auto"/>
        <w:rPr>
          <w:rFonts w:hint="eastAsia"/>
        </w:rPr>
      </w:pPr>
      <w:r>
        <w:rPr>
          <w:rFonts w:hint="eastAsia"/>
        </w:rPr>
        <w:t xml:space="preserve">For </w:t>
      </w:r>
      <w:r>
        <w:rPr>
          <w:b/>
          <w:bCs/>
        </w:rPr>
        <w:t>External</w:t>
      </w:r>
      <w:r>
        <w:t xml:space="preserve"> Component Power Consumption Model.</w:t>
      </w:r>
      <w:r>
        <w:rPr>
          <w:rFonts w:hint="eastAsia"/>
        </w:rPr>
        <w:t xml:space="preserve"> We assumed that </w:t>
      </w:r>
      <w:r>
        <w:t>Total load is the sum of baseline, screen, CPU, network, and GPS power</w:t>
      </w:r>
      <w:r>
        <w:rPr>
          <w:rFonts w:hint="eastAsia"/>
        </w:rPr>
        <w:t>.</w:t>
      </w:r>
      <w:r>
        <w:t xml:space="preserve"> </w:t>
      </w:r>
      <w:r>
        <w:rPr>
          <w:rFonts w:hint="eastAsia"/>
        </w:rPr>
        <w:t xml:space="preserve">We devise a improved </w:t>
      </w:r>
      <w:r>
        <w:t xml:space="preserve">network </w:t>
      </w:r>
      <w:r>
        <w:rPr>
          <w:rFonts w:hint="eastAsia"/>
        </w:rPr>
        <w:t>model</w:t>
      </w:r>
      <w:r>
        <w:t xml:space="preserve"> </w:t>
      </w:r>
      <w:r>
        <w:rPr>
          <w:rFonts w:hint="eastAsia"/>
        </w:rPr>
        <w:t>.we introduce the</w:t>
      </w:r>
      <w:r>
        <w:t xml:space="preserve"> weak-signal penalty and a continuous RRC’</w:t>
      </w:r>
      <w:r>
        <w:rPr>
          <w:rFonts w:hint="eastAsia"/>
          <w:b/>
          <w:bCs/>
        </w:rPr>
        <w:t xml:space="preserve">energy </w:t>
      </w:r>
      <w:r>
        <w:rPr>
          <w:b/>
          <w:bCs/>
        </w:rPr>
        <w:t>tail</w:t>
      </w:r>
      <w:r>
        <w:t>’ state;</w:t>
      </w:r>
    </w:p>
    <w:p w14:paraId="753727D9">
      <w:pPr>
        <w:pStyle w:val="45"/>
        <w:keepNext w:val="0"/>
        <w:keepLines w:val="0"/>
        <w:pageBreakBefore w:val="0"/>
        <w:widowControl w:val="0"/>
        <w:kinsoku/>
        <w:wordWrap/>
        <w:overflowPunct/>
        <w:topLinePunct w:val="0"/>
        <w:autoSpaceDE/>
        <w:autoSpaceDN/>
        <w:bidi w:val="0"/>
        <w:adjustRightInd/>
        <w:snapToGrid w:val="0"/>
        <w:spacing w:after="260" w:line="240" w:lineRule="auto"/>
        <w:ind w:firstLine="482"/>
        <w:jc w:val="both"/>
        <w:textAlignment w:val="auto"/>
        <w:rPr>
          <w:rFonts w:eastAsia="宋体" w:cstheme="minorBidi"/>
          <w:sz w:val="24"/>
        </w:rPr>
      </w:pPr>
      <w:r>
        <w:rPr>
          <w:rFonts w:eastAsia="宋体" w:cstheme="minorBidi"/>
          <w:sz w:val="24"/>
        </w:rPr>
        <w:t>Through the Constant Power Load (</w:t>
      </w:r>
      <w:r>
        <w:rPr>
          <w:rFonts w:eastAsia="宋体" w:cstheme="minorBidi"/>
          <w:b/>
          <w:bCs/>
          <w:sz w:val="24"/>
        </w:rPr>
        <w:t>CPL</w:t>
      </w:r>
      <w:r>
        <w:rPr>
          <w:rFonts w:eastAsia="宋体" w:cstheme="minorBidi"/>
          <w:sz w:val="24"/>
        </w:rPr>
        <w:t>), we achieved closed-loop operation for the first two models, generating a coupled dynamic analysis model (DAE). By solving this model, we discovered that its discriminant</w:t>
      </w:r>
      <w:r>
        <w:rPr>
          <w:rFonts w:hint="eastAsia" w:eastAsia="宋体" w:cstheme="minorBidi"/>
          <w:sz w:val="24"/>
        </w:rPr>
        <w:t xml:space="preserve"> </w:t>
      </w:r>
      <w:r>
        <w:rPr>
          <w:rFonts w:eastAsia="宋体" w:cstheme="minorBidi"/>
          <w:position w:val="-10"/>
          <w:sz w:val="24"/>
        </w:rPr>
        <w:object>
          <v:shape id="_x0000_i1026" o:spt="75" type="#_x0000_t75" style="height:16pt;width:27.35pt;" o:ole="t" filled="f" coordsize="21600,21600">
            <v:path/>
            <v:fill on="f" focussize="0,0"/>
            <v:stroke/>
            <v:imagedata r:id="rId14" o:title=""/>
            <o:lock v:ext="edit" aspectratio="t"/>
            <w10:wrap type="none"/>
            <w10:anchorlock/>
          </v:shape>
          <o:OLEObject Type="Embed" ProgID="Equation.AxMath" ShapeID="_x0000_i1026" DrawAspect="Content" ObjectID="_1468075725" r:id="rId13">
            <o:LockedField>false</o:LockedField>
          </o:OLEObject>
        </w:object>
      </w:r>
      <w:r>
        <w:rPr>
          <w:rFonts w:eastAsia="宋体" w:cstheme="minorBidi"/>
          <w:sz w:val="24"/>
        </w:rPr>
        <w:t xml:space="preserve"> can predict </w:t>
      </w:r>
      <w:r>
        <w:rPr>
          <w:rFonts w:eastAsia="宋体" w:cstheme="minorBidi"/>
          <w:b/>
          <w:bCs/>
          <w:sz w:val="24"/>
        </w:rPr>
        <w:t>voltage collapse</w:t>
      </w:r>
      <w:r>
        <w:rPr>
          <w:rFonts w:eastAsia="宋体" w:cstheme="minorBidi"/>
          <w:sz w:val="24"/>
        </w:rPr>
        <w:t xml:space="preserve"> (premature shutdown) and introduced temperature-dependent current limiting.</w:t>
      </w:r>
    </w:p>
    <w:p w14:paraId="5F85D53D">
      <w:pPr>
        <w:keepNext w:val="0"/>
        <w:keepLines w:val="0"/>
        <w:pageBreakBefore w:val="0"/>
        <w:widowControl w:val="0"/>
        <w:kinsoku/>
        <w:wordWrap/>
        <w:overflowPunct/>
        <w:topLinePunct w:val="0"/>
        <w:autoSpaceDE/>
        <w:autoSpaceDN/>
        <w:bidi w:val="0"/>
        <w:adjustRightInd/>
        <w:snapToGrid w:val="0"/>
        <w:ind w:firstLine="480"/>
        <w:jc w:val="both"/>
        <w:textAlignment w:val="auto"/>
      </w:pPr>
      <w:r>
        <w:t>We solve with RK4 and quantify stochastic usage by</w:t>
      </w:r>
      <w:r>
        <w:rPr>
          <w:b/>
          <w:bCs/>
        </w:rPr>
        <w:t xml:space="preserve"> Monte Carlo simulations </w:t>
      </w:r>
      <w:r>
        <w:t xml:space="preserve">with Gaussian perturbations in brightness, CPU load, and network activity; validation against literature confidence intervals keeps relative error </w:t>
      </w:r>
      <w:r>
        <w:rPr>
          <w:b/>
          <w:bCs/>
        </w:rPr>
        <w:t>below 5%</w:t>
      </w:r>
      <w:r>
        <w:t xml:space="preserve"> for video streaming/navigation and at +4.1% for intensive gaming.</w:t>
      </w:r>
      <w:r>
        <w:rPr>
          <w:rFonts w:hint="eastAsia"/>
        </w:rPr>
        <w:t xml:space="preserve"> </w:t>
      </w:r>
      <w:r>
        <w:t xml:space="preserve">Predicted mean TTE spans </w:t>
      </w:r>
      <w:r>
        <w:rPr>
          <w:b/>
          <w:bCs/>
        </w:rPr>
        <w:t>4.11 h</w:t>
      </w:r>
      <w:r>
        <w:t xml:space="preserve"> in heavy gaming to </w:t>
      </w:r>
      <w:r>
        <w:rPr>
          <w:b/>
          <w:bCs/>
        </w:rPr>
        <w:t xml:space="preserve">29.45 h </w:t>
      </w:r>
      <w:r>
        <w:t>in standby, and near the voltage threshold SOC decline accelerates as CPL forces a current</w:t>
      </w:r>
      <w:r>
        <w:rPr>
          <w:rFonts w:hint="eastAsia"/>
          <w:lang w:val="en-US" w:eastAsia="zh-CN"/>
        </w:rPr>
        <w:t xml:space="preserve"> </w:t>
      </w:r>
      <w:r>
        <w:t>surge; the model’s ‘safe zone’</w:t>
      </w:r>
      <w:r>
        <w:rPr>
          <w:rFonts w:hint="eastAsia"/>
        </w:rPr>
        <w:t xml:space="preserve"> </w:t>
      </w:r>
      <w:r>
        <w:t>is</w:t>
      </w:r>
      <w:r>
        <w:rPr>
          <w:rFonts w:hint="eastAsia"/>
          <w:lang w:val="en-US" w:eastAsia="zh-CN"/>
        </w:rPr>
        <w:t xml:space="preserve"> </w:t>
      </w:r>
      <w:r>
        <w:rPr>
          <w:position w:val="-9"/>
        </w:rPr>
        <w:object>
          <v:shape id="_x0000_i1027" o:spt="75" type="#_x0000_t75" style="height:15.35pt;width:48pt;" o:ole="t" filled="f" coordsize="21600,21600">
            <v:path/>
            <v:fill on="f" focussize="0,0"/>
            <v:stroke/>
            <v:imagedata r:id="rId16" o:title=""/>
            <o:lock v:ext="edit" aspectratio="t"/>
            <w10:wrap type="none"/>
            <w10:anchorlock/>
          </v:shape>
          <o:OLEObject Type="Embed" ProgID="Equation.AxMath" ShapeID="_x0000_i1027" DrawAspect="Content" ObjectID="_1468075726" r:id="rId15">
            <o:LockedField>false</o:LockedField>
          </o:OLEObject>
        </w:object>
      </w:r>
      <w:r>
        <w:t xml:space="preserve">with </w:t>
      </w:r>
      <w:r>
        <w:rPr>
          <w:i/>
          <w:iCs/>
        </w:rPr>
        <w:t>SOC</w:t>
      </w:r>
      <w:r>
        <w:rPr>
          <w:rFonts w:hint="eastAsia"/>
          <w:i/>
          <w:iCs/>
          <w:lang w:val="en-US" w:eastAsia="zh-CN"/>
        </w:rPr>
        <w:t xml:space="preserve"> </w:t>
      </w:r>
      <w:r>
        <w:t xml:space="preserve">&gt;20%, while a </w:t>
      </w:r>
      <w:r>
        <w:rPr>
          <w:b/>
          <w:bCs/>
        </w:rPr>
        <w:t>voltage-collapse</w:t>
      </w:r>
      <w:r>
        <w:t xml:space="preserve"> </w:t>
      </w:r>
      <w:r>
        <w:rPr>
          <w:b/>
          <w:bCs/>
        </w:rPr>
        <w:t>risk zone</w:t>
      </w:r>
      <w:r>
        <w:t xml:space="preserve"> appears for </w:t>
      </w:r>
      <w:r>
        <w:rPr>
          <w:i/>
          <w:iCs/>
        </w:rPr>
        <w:t>Temp</w:t>
      </w:r>
      <w:r>
        <w:t xml:space="preserve"> &lt; 0°C and </w:t>
      </w:r>
      <w:r>
        <w:rPr>
          <w:i/>
          <w:iCs/>
        </w:rPr>
        <w:t>SOC</w:t>
      </w:r>
      <w:r>
        <w:t xml:space="preserve"> &lt; 15%.</w:t>
      </w:r>
    </w:p>
    <w:p w14:paraId="648C8CB7">
      <w:pPr>
        <w:keepNext w:val="0"/>
        <w:keepLines w:val="0"/>
        <w:pageBreakBefore w:val="0"/>
        <w:widowControl w:val="0"/>
        <w:kinsoku/>
        <w:wordWrap/>
        <w:overflowPunct/>
        <w:topLinePunct w:val="0"/>
        <w:autoSpaceDE/>
        <w:autoSpaceDN/>
        <w:bidi w:val="0"/>
        <w:adjustRightInd/>
        <w:snapToGrid w:val="0"/>
        <w:ind w:firstLine="480"/>
        <w:textAlignment w:val="auto"/>
      </w:pPr>
      <w:r>
        <w:t xml:space="preserve">We have made recommendations based on the model results: For users, we recommend </w:t>
      </w:r>
      <w:r>
        <w:rPr>
          <w:rFonts w:hint="eastAsia"/>
          <w:lang w:val="en-US" w:eastAsia="zh-CN"/>
        </w:rPr>
        <w:t xml:space="preserve">that </w:t>
      </w:r>
      <w:r>
        <w:t>halving the screen</w:t>
      </w:r>
      <w:r>
        <w:rPr>
          <w:rFonts w:hint="eastAsia"/>
        </w:rPr>
        <w:t xml:space="preserve"> </w:t>
      </w:r>
      <w:r>
        <w:rPr>
          <w:rFonts w:hint="eastAsia"/>
          <w:lang w:val="en-US" w:eastAsia="zh-CN"/>
        </w:rPr>
        <w:t xml:space="preserve">more </w:t>
      </w:r>
      <w:r>
        <w:t>brigh</w:t>
      </w:r>
      <w:r>
        <w:rPr>
          <w:rFonts w:hint="eastAsia"/>
          <w:lang w:val="en-US" w:eastAsia="zh-CN"/>
        </w:rPr>
        <w:t>t (</w:t>
      </w:r>
      <w:r>
        <w:rPr>
          <w:position w:val="-10"/>
        </w:rPr>
        <w:object>
          <v:shape id="_x0000_i1028" o:spt="75" type="#_x0000_t75" style="height:16pt;width:116pt;" o:ole="t" filled="f" coordsize="21600,21600">
            <v:path/>
            <v:fill on="f" focussize="0,0"/>
            <v:stroke/>
            <v:imagedata r:id="rId18" o:title=""/>
            <o:lock v:ext="edit" aspectratio="t"/>
            <w10:wrap type="none"/>
            <w10:anchorlock/>
          </v:shape>
          <o:OLEObject Type="Embed" ProgID="Equation.AxMath" ShapeID="_x0000_i1028" DrawAspect="Content" ObjectID="_1468075727" r:id="rId17">
            <o:LockedField>false</o:LockedField>
          </o:OLEObject>
        </w:object>
      </w:r>
      <w:r>
        <w:rPr>
          <w:rFonts w:hint="eastAsia"/>
          <w:lang w:val="en-US" w:eastAsia="zh-CN"/>
        </w:rPr>
        <w:t>) and reducing</w:t>
      </w:r>
      <w:r>
        <w:t xml:space="preserve"> CPU load (</w:t>
      </w:r>
      <w:r>
        <w:rPr>
          <w:position w:val="-10"/>
        </w:rPr>
        <w:object>
          <v:shape id="_x0000_i1029" o:spt="75" type="#_x0000_t75" style="height:16pt;width:116pt;" o:ole="t" filled="f" coordsize="21600,21600">
            <v:path/>
            <v:fill on="f" focussize="0,0"/>
            <v:stroke/>
            <v:imagedata r:id="rId20" o:title=""/>
            <o:lock v:ext="edit" aspectratio="t"/>
            <w10:wrap type="none"/>
            <w10:anchorlock/>
          </v:shape>
          <o:OLEObject Type="Embed" ProgID="Equation.AxMath" ShapeID="_x0000_i1029" DrawAspect="Content" ObjectID="_1468075728" r:id="rId19">
            <o:LockedField>false</o:LockedField>
          </o:OLEObject>
        </w:object>
      </w:r>
      <w:r>
        <w:t>), switching to Wi-Fi in weak signal environments, and maintaining a higher battery charge level to mitigate thermal ageing. For the operating system, we have designed an intelligent power consumption mode switching method</w:t>
      </w:r>
      <w:r>
        <w:rPr>
          <w:rFonts w:hint="eastAsia"/>
          <w:lang w:eastAsia="zh-CN"/>
        </w:rPr>
        <w:t xml:space="preserve">, </w:t>
      </w:r>
      <w:r>
        <w:t>Achieving a balance between power-saving mode/high-performance mode and user experience</w:t>
      </w:r>
      <w:r>
        <w:rPr>
          <w:rFonts w:hint="eastAsia"/>
        </w:rPr>
        <w:t>.</w:t>
      </w:r>
    </w:p>
    <w:p w14:paraId="5ED2BA56">
      <w:pPr>
        <w:ind w:firstLine="480"/>
        <w:rPr>
          <w:rFonts w:hint="eastAsia" w:eastAsiaTheme="minorEastAsia"/>
          <w:b/>
          <w:bCs/>
          <w:color w:val="000000"/>
        </w:rPr>
      </w:pPr>
    </w:p>
    <w:p w14:paraId="0430B510">
      <w:pPr>
        <w:pStyle w:val="45"/>
        <w:spacing w:after="260" w:line="240" w:lineRule="auto"/>
        <w:ind w:firstLine="0"/>
        <w:jc w:val="both"/>
        <w:rPr>
          <w:rFonts w:hint="eastAsia" w:eastAsiaTheme="minorEastAsia"/>
          <w:color w:val="000000"/>
          <w:sz w:val="24"/>
          <w:szCs w:val="22"/>
        </w:rPr>
      </w:pPr>
      <w:r>
        <w:rPr>
          <w:b/>
          <w:bCs/>
          <w:color w:val="000000"/>
          <w:sz w:val="24"/>
          <w:szCs w:val="22"/>
        </w:rPr>
        <w:t>Keywords: SOC</w:t>
      </w:r>
      <w:r>
        <w:rPr>
          <w:rFonts w:hint="eastAsia" w:ascii="宋体" w:hAnsi="宋体" w:eastAsia="宋体" w:cs="宋体"/>
          <w:b/>
          <w:bCs/>
          <w:color w:val="000000"/>
          <w:sz w:val="24"/>
          <w:szCs w:val="22"/>
        </w:rPr>
        <w:t>;</w:t>
      </w:r>
      <w:r>
        <w:rPr>
          <w:b/>
          <w:bCs/>
          <w:color w:val="000000"/>
          <w:sz w:val="24"/>
          <w:szCs w:val="22"/>
        </w:rPr>
        <w:t xml:space="preserve"> mechanism</w:t>
      </w:r>
      <w:r>
        <w:rPr>
          <w:rFonts w:hint="eastAsia"/>
          <w:b/>
          <w:bCs/>
          <w:color w:val="000000"/>
          <w:sz w:val="24"/>
          <w:szCs w:val="22"/>
        </w:rPr>
        <w:t xml:space="preserve"> model</w:t>
      </w:r>
      <w:r>
        <w:rPr>
          <w:rFonts w:hint="eastAsia" w:eastAsiaTheme="minorEastAsia"/>
          <w:b/>
          <w:bCs/>
          <w:color w:val="000000"/>
          <w:sz w:val="24"/>
          <w:szCs w:val="22"/>
        </w:rPr>
        <w:t>; SOH;</w:t>
      </w:r>
      <w:r>
        <w:rPr>
          <w:rFonts w:eastAsia="宋体"/>
          <w:kern w:val="0"/>
          <w:sz w:val="24"/>
        </w:rPr>
        <w:t xml:space="preserve"> </w:t>
      </w:r>
      <w:r>
        <w:rPr>
          <w:rFonts w:eastAsiaTheme="minorEastAsia"/>
          <w:b/>
          <w:bCs/>
          <w:color w:val="000000"/>
          <w:sz w:val="24"/>
          <w:szCs w:val="22"/>
        </w:rPr>
        <w:t xml:space="preserve">Monte Carlo </w:t>
      </w:r>
      <w:r>
        <w:rPr>
          <w:rFonts w:hint="eastAsia" w:eastAsiaTheme="minorEastAsia"/>
          <w:b/>
          <w:bCs/>
          <w:color w:val="000000"/>
          <w:sz w:val="24"/>
          <w:szCs w:val="22"/>
        </w:rPr>
        <w:t>Method</w:t>
      </w:r>
    </w:p>
    <w:p w14:paraId="3C71ACCF">
      <w:pPr>
        <w:pStyle w:val="45"/>
        <w:spacing w:after="260" w:line="240" w:lineRule="auto"/>
        <w:ind w:firstLine="0"/>
        <w:jc w:val="both"/>
        <w:rPr>
          <w:rFonts w:eastAsiaTheme="minorEastAsia"/>
          <w:color w:val="000000"/>
          <w:sz w:val="24"/>
          <w:szCs w:val="22"/>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40" w:right="1440" w:bottom="1440" w:left="1440" w:header="851" w:footer="992" w:gutter="0"/>
          <w:cols w:space="425" w:num="1"/>
          <w:titlePg/>
          <w:docGrid w:type="lines" w:linePitch="326" w:charSpace="0"/>
        </w:sectPr>
      </w:pPr>
    </w:p>
    <w:sdt>
      <w:sdtPr>
        <w:rPr>
          <w:b w:val="0"/>
          <w:sz w:val="32"/>
          <w:szCs w:val="24"/>
          <w:lang w:val="zh-CN"/>
        </w:rPr>
        <w:id w:val="-1687361599"/>
        <w:docPartObj>
          <w:docPartGallery w:val="Table of Contents"/>
          <w:docPartUnique/>
        </w:docPartObj>
      </w:sdtPr>
      <w:sdtEndPr>
        <w:rPr>
          <w:b w:val="0"/>
          <w:bCs/>
          <w:sz w:val="24"/>
          <w:szCs w:val="21"/>
          <w:lang w:val="zh-CN"/>
        </w:rPr>
      </w:sdtEndPr>
      <w:sdtContent>
        <w:p w14:paraId="26D39D01">
          <w:pPr>
            <w:pStyle w:val="30"/>
            <w:rPr>
              <w:rFonts w:hint="default" w:ascii="Times New Roman" w:hAnsi="Times New Roman" w:cs="Times New Roman"/>
              <w:sz w:val="32"/>
              <w:szCs w:val="24"/>
            </w:rPr>
          </w:pPr>
          <w:r>
            <w:rPr>
              <w:rFonts w:hint="default" w:ascii="Times New Roman" w:hAnsi="Times New Roman" w:cs="Times New Roman"/>
              <w:sz w:val="32"/>
              <w:szCs w:val="24"/>
            </w:rPr>
            <w:t>Contents</w:t>
          </w:r>
        </w:p>
        <w:p w14:paraId="64DDE02C">
          <w:pPr>
            <w:pStyle w:val="13"/>
            <w:tabs>
              <w:tab w:val="right" w:leader="dot" w:pos="9026"/>
            </w:tabs>
          </w:pPr>
          <w:r>
            <w:rPr>
              <w:rFonts w:hint="default" w:ascii="Times New Roman" w:hAnsi="Times New Roman" w:cs="Times New Roman"/>
            </w:rPr>
            <w:fldChar w:fldCharType="begin"/>
          </w:r>
          <w:r>
            <w:rPr>
              <w:rFonts w:hint="default" w:ascii="Times New Roman" w:hAnsi="Times New Roman" w:cs="Times New Roman"/>
            </w:rPr>
            <w:instrText xml:space="preserve"> TOC \o "1-3" \h \z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_Toc25703 </w:instrText>
          </w:r>
          <w:r>
            <w:rPr>
              <w:rFonts w:hint="default" w:ascii="Times New Roman" w:hAnsi="Times New Roman" w:cs="Times New Roman"/>
            </w:rPr>
            <w:fldChar w:fldCharType="separate"/>
          </w:r>
          <w:r>
            <w:rPr>
              <w:rFonts w:hint="default" w:ascii="Times New Roman" w:hAnsi="Times New Roman" w:eastAsia="黑体"/>
              <w:i w:val="0"/>
            </w:rPr>
            <w:t xml:space="preserve">1 </w:t>
          </w:r>
          <w:r>
            <w:t>Introduction</w:t>
          </w:r>
          <w:r>
            <w:tab/>
          </w:r>
          <w:r>
            <w:fldChar w:fldCharType="begin"/>
          </w:r>
          <w:r>
            <w:instrText xml:space="preserve"> PAGEREF _Toc25703 \h </w:instrText>
          </w:r>
          <w:r>
            <w:fldChar w:fldCharType="separate"/>
          </w:r>
          <w:r>
            <w:t>3</w:t>
          </w:r>
          <w:r>
            <w:fldChar w:fldCharType="end"/>
          </w:r>
          <w:r>
            <w:rPr>
              <w:rFonts w:hint="default" w:ascii="Times New Roman" w:hAnsi="Times New Roman" w:cs="Times New Roman"/>
            </w:rPr>
            <w:fldChar w:fldCharType="end"/>
          </w:r>
        </w:p>
        <w:p w14:paraId="4A27098A">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_Toc23215 </w:instrText>
          </w:r>
          <w:r>
            <w:rPr>
              <w:rFonts w:hint="default" w:ascii="Times New Roman" w:hAnsi="Times New Roman" w:cs="Times New Roman"/>
              <w:bCs/>
              <w:lang w:val="zh-CN"/>
            </w:rPr>
            <w:fldChar w:fldCharType="separate"/>
          </w:r>
          <w:r>
            <w:t>1.1 Problem Background</w:t>
          </w:r>
          <w:r>
            <w:tab/>
          </w:r>
          <w:r>
            <w:fldChar w:fldCharType="begin"/>
          </w:r>
          <w:r>
            <w:instrText xml:space="preserve"> PAGEREF _Toc23215 \h </w:instrText>
          </w:r>
          <w:r>
            <w:fldChar w:fldCharType="separate"/>
          </w:r>
          <w:r>
            <w:t>3</w:t>
          </w:r>
          <w:r>
            <w:fldChar w:fldCharType="end"/>
          </w:r>
          <w:r>
            <w:rPr>
              <w:rFonts w:hint="default" w:ascii="Times New Roman" w:hAnsi="Times New Roman" w:cs="Times New Roman"/>
              <w:bCs/>
              <w:lang w:val="zh-CN"/>
            </w:rPr>
            <w:fldChar w:fldCharType="end"/>
          </w:r>
        </w:p>
        <w:p w14:paraId="4B41559C">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_Toc32529 </w:instrText>
          </w:r>
          <w:r>
            <w:rPr>
              <w:rFonts w:hint="default" w:ascii="Times New Roman" w:hAnsi="Times New Roman" w:cs="Times New Roman"/>
              <w:bCs/>
              <w:lang w:val="zh-CN"/>
            </w:rPr>
            <w:fldChar w:fldCharType="separate"/>
          </w:r>
          <w:r>
            <w:t>1.2 Restatement of the Problem</w:t>
          </w:r>
          <w:r>
            <w:tab/>
          </w:r>
          <w:r>
            <w:fldChar w:fldCharType="begin"/>
          </w:r>
          <w:r>
            <w:instrText xml:space="preserve"> PAGEREF _Toc32529 \h </w:instrText>
          </w:r>
          <w:r>
            <w:fldChar w:fldCharType="separate"/>
          </w:r>
          <w:r>
            <w:t>3</w:t>
          </w:r>
          <w:r>
            <w:fldChar w:fldCharType="end"/>
          </w:r>
          <w:r>
            <w:rPr>
              <w:rFonts w:hint="default" w:ascii="Times New Roman" w:hAnsi="Times New Roman" w:cs="Times New Roman"/>
              <w:bCs/>
              <w:lang w:val="zh-CN"/>
            </w:rPr>
            <w:fldChar w:fldCharType="end"/>
          </w:r>
        </w:p>
        <w:p w14:paraId="2BDFDF9A">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_Toc18286 </w:instrText>
          </w:r>
          <w:r>
            <w:rPr>
              <w:rFonts w:hint="default" w:ascii="Times New Roman" w:hAnsi="Times New Roman" w:cs="Times New Roman"/>
              <w:bCs/>
              <w:lang w:val="zh-CN"/>
            </w:rPr>
            <w:fldChar w:fldCharType="separate"/>
          </w:r>
          <w:r>
            <w:rPr>
              <w:rFonts w:hint="eastAsia"/>
            </w:rPr>
            <w:t>1.3 Our Work</w:t>
          </w:r>
          <w:r>
            <w:tab/>
          </w:r>
          <w:r>
            <w:fldChar w:fldCharType="begin"/>
          </w:r>
          <w:r>
            <w:instrText xml:space="preserve"> PAGEREF _Toc18286 \h </w:instrText>
          </w:r>
          <w:r>
            <w:fldChar w:fldCharType="separate"/>
          </w:r>
          <w:r>
            <w:t>4</w:t>
          </w:r>
          <w:r>
            <w:fldChar w:fldCharType="end"/>
          </w:r>
          <w:r>
            <w:rPr>
              <w:rFonts w:hint="default" w:ascii="Times New Roman" w:hAnsi="Times New Roman" w:cs="Times New Roman"/>
              <w:bCs/>
              <w:lang w:val="zh-CN"/>
            </w:rPr>
            <w:fldChar w:fldCharType="end"/>
          </w:r>
        </w:p>
        <w:p w14:paraId="5DA7C868">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_Toc11320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2 </w:t>
          </w:r>
          <w:r>
            <w:t>Assumptions and Justifications</w:t>
          </w:r>
          <w:r>
            <w:tab/>
          </w:r>
          <w:r>
            <w:fldChar w:fldCharType="begin"/>
          </w:r>
          <w:r>
            <w:instrText xml:space="preserve"> PAGEREF _Toc11320 \h </w:instrText>
          </w:r>
          <w:r>
            <w:fldChar w:fldCharType="separate"/>
          </w:r>
          <w:r>
            <w:t>4</w:t>
          </w:r>
          <w:r>
            <w:fldChar w:fldCharType="end"/>
          </w:r>
          <w:r>
            <w:rPr>
              <w:rFonts w:hint="default" w:ascii="Times New Roman" w:hAnsi="Times New Roman" w:cs="Times New Roman"/>
              <w:bCs/>
              <w:lang w:val="zh-CN"/>
            </w:rPr>
            <w:fldChar w:fldCharType="end"/>
          </w:r>
        </w:p>
        <w:p w14:paraId="48C6AE18">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_Toc26855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3 </w:t>
          </w:r>
          <w:r>
            <w:t>Notations</w:t>
          </w:r>
          <w:r>
            <w:tab/>
          </w:r>
          <w:r>
            <w:fldChar w:fldCharType="begin"/>
          </w:r>
          <w:r>
            <w:instrText xml:space="preserve"> PAGEREF _Toc26855 \h </w:instrText>
          </w:r>
          <w:r>
            <w:fldChar w:fldCharType="separate"/>
          </w:r>
          <w:r>
            <w:t>5</w:t>
          </w:r>
          <w:r>
            <w:fldChar w:fldCharType="end"/>
          </w:r>
          <w:r>
            <w:rPr>
              <w:rFonts w:hint="default" w:ascii="Times New Roman" w:hAnsi="Times New Roman" w:cs="Times New Roman"/>
              <w:bCs/>
              <w:lang w:val="zh-CN"/>
            </w:rPr>
            <w:fldChar w:fldCharType="end"/>
          </w:r>
        </w:p>
        <w:p w14:paraId="07A7D469">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_Toc17318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4 </w:t>
          </w:r>
          <w:r>
            <w:t>Model Formulation</w:t>
          </w:r>
          <w:r>
            <w:rPr>
              <w:rFonts w:hint="eastAsia"/>
            </w:rPr>
            <w:t xml:space="preserve">: </w:t>
          </w:r>
          <w:r>
            <w:t>The Multi-Physics Battery System</w:t>
          </w:r>
          <w:r>
            <w:tab/>
          </w:r>
          <w:r>
            <w:fldChar w:fldCharType="begin"/>
          </w:r>
          <w:r>
            <w:instrText xml:space="preserve"> PAGEREF _Toc17318 \h </w:instrText>
          </w:r>
          <w:r>
            <w:fldChar w:fldCharType="separate"/>
          </w:r>
          <w:r>
            <w:t>5</w:t>
          </w:r>
          <w:r>
            <w:fldChar w:fldCharType="end"/>
          </w:r>
          <w:r>
            <w:rPr>
              <w:rFonts w:hint="default" w:ascii="Times New Roman" w:hAnsi="Times New Roman" w:cs="Times New Roman"/>
              <w:bCs/>
              <w:lang w:val="zh-CN"/>
            </w:rPr>
            <w:fldChar w:fldCharType="end"/>
          </w:r>
        </w:p>
        <w:p w14:paraId="3AFB06CA">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_Toc19251 </w:instrText>
          </w:r>
          <w:r>
            <w:rPr>
              <w:rFonts w:hint="default" w:ascii="Times New Roman" w:hAnsi="Times New Roman" w:cs="Times New Roman"/>
              <w:bCs/>
              <w:lang w:val="zh-CN"/>
            </w:rPr>
            <w:fldChar w:fldCharType="separate"/>
          </w:r>
          <w:r>
            <w:t>4.1 The Internal Physics: ECM &amp; Thermodynamics</w:t>
          </w:r>
          <w:r>
            <w:tab/>
          </w:r>
          <w:r>
            <w:fldChar w:fldCharType="begin"/>
          </w:r>
          <w:r>
            <w:instrText xml:space="preserve"> PAGEREF _Toc19251 \h </w:instrText>
          </w:r>
          <w:r>
            <w:fldChar w:fldCharType="separate"/>
          </w:r>
          <w:r>
            <w:t>6</w:t>
          </w:r>
          <w:r>
            <w:fldChar w:fldCharType="end"/>
          </w:r>
          <w:r>
            <w:rPr>
              <w:rFonts w:hint="default" w:ascii="Times New Roman" w:hAnsi="Times New Roman" w:cs="Times New Roman"/>
              <w:bCs/>
              <w:lang w:val="zh-CN"/>
            </w:rPr>
            <w:fldChar w:fldCharType="end"/>
          </w:r>
        </w:p>
        <w:p w14:paraId="52C84B8F">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_Toc20127 </w:instrText>
          </w:r>
          <w:r>
            <w:rPr>
              <w:rFonts w:hint="default" w:ascii="Times New Roman" w:hAnsi="Times New Roman" w:cs="Times New Roman"/>
              <w:bCs/>
              <w:lang w:val="zh-CN"/>
            </w:rPr>
            <w:fldChar w:fldCharType="separate"/>
          </w:r>
          <w:r>
            <w:t>4.2 Component Power Consumption Model</w:t>
          </w:r>
          <w:r>
            <w:tab/>
          </w:r>
          <w:r>
            <w:fldChar w:fldCharType="begin"/>
          </w:r>
          <w:r>
            <w:instrText xml:space="preserve"> PAGEREF _Toc20127 \h </w:instrText>
          </w:r>
          <w:r>
            <w:fldChar w:fldCharType="separate"/>
          </w:r>
          <w:r>
            <w:t>9</w:t>
          </w:r>
          <w:r>
            <w:fldChar w:fldCharType="end"/>
          </w:r>
          <w:r>
            <w:rPr>
              <w:rFonts w:hint="default" w:ascii="Times New Roman" w:hAnsi="Times New Roman" w:cs="Times New Roman"/>
              <w:bCs/>
              <w:lang w:val="zh-CN"/>
            </w:rPr>
            <w:fldChar w:fldCharType="end"/>
          </w:r>
        </w:p>
        <w:p w14:paraId="145455EA">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_Toc4562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4.2.1 </w:t>
          </w:r>
          <w:r>
            <w:t>Screen and CPU Power Consumption</w:t>
          </w:r>
          <w:r>
            <w:tab/>
          </w:r>
          <w:r>
            <w:fldChar w:fldCharType="begin"/>
          </w:r>
          <w:r>
            <w:instrText xml:space="preserve"> PAGEREF _Toc4562 \h </w:instrText>
          </w:r>
          <w:r>
            <w:fldChar w:fldCharType="separate"/>
          </w:r>
          <w:r>
            <w:t>9</w:t>
          </w:r>
          <w:r>
            <w:fldChar w:fldCharType="end"/>
          </w:r>
          <w:r>
            <w:rPr>
              <w:rFonts w:hint="default" w:ascii="Times New Roman" w:hAnsi="Times New Roman" w:cs="Times New Roman"/>
              <w:bCs/>
              <w:lang w:val="zh-CN"/>
            </w:rPr>
            <w:fldChar w:fldCharType="end"/>
          </w:r>
        </w:p>
        <w:p w14:paraId="1FBD3BCE">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_Toc19652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4.2.2 </w:t>
          </w:r>
          <w:r>
            <w:t>Improved Model for Network Communication Power Consumption</w:t>
          </w:r>
          <w:r>
            <w:tab/>
          </w:r>
          <w:r>
            <w:fldChar w:fldCharType="begin"/>
          </w:r>
          <w:r>
            <w:instrText xml:space="preserve"> PAGEREF _Toc19652 \h </w:instrText>
          </w:r>
          <w:r>
            <w:fldChar w:fldCharType="separate"/>
          </w:r>
          <w:r>
            <w:t>10</w:t>
          </w:r>
          <w:r>
            <w:fldChar w:fldCharType="end"/>
          </w:r>
          <w:r>
            <w:rPr>
              <w:rFonts w:hint="default" w:ascii="Times New Roman" w:hAnsi="Times New Roman" w:cs="Times New Roman"/>
              <w:bCs/>
              <w:lang w:val="zh-CN"/>
            </w:rPr>
            <w:fldChar w:fldCharType="end"/>
          </w:r>
        </w:p>
        <w:p w14:paraId="640E5E8F">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_Toc1914 </w:instrText>
          </w:r>
          <w:r>
            <w:rPr>
              <w:rFonts w:hint="default" w:ascii="Times New Roman" w:hAnsi="Times New Roman" w:cs="Times New Roman"/>
              <w:bCs/>
              <w:lang w:val="zh-CN"/>
            </w:rPr>
            <w:fldChar w:fldCharType="separate"/>
          </w:r>
          <w:r>
            <w:rPr>
              <w:rFonts w:ascii="Arial" w:hAnsi="Arial" w:cs="Arial"/>
            </w:rPr>
            <w:t xml:space="preserve">4.3 </w:t>
          </w:r>
          <w:r>
            <w:rPr>
              <w:rFonts w:hint="eastAsia"/>
            </w:rPr>
            <w:t xml:space="preserve">CPL </w:t>
          </w:r>
          <w:r>
            <w:rPr>
              <w:rFonts w:ascii="Arial" w:hAnsi="Arial" w:cs="Arial"/>
            </w:rPr>
            <w:t>Closure</w:t>
          </w:r>
          <w:r>
            <w:rPr>
              <w:rFonts w:hint="eastAsia" w:ascii="Arial" w:hAnsi="Arial" w:cs="Arial"/>
            </w:rPr>
            <w:t xml:space="preserve"> and </w:t>
          </w:r>
          <w:r>
            <w:rPr>
              <w:rFonts w:ascii="Arial" w:hAnsi="Arial" w:cs="Arial"/>
            </w:rPr>
            <w:t>Current model solution</w:t>
          </w:r>
          <w:r>
            <w:rPr>
              <w:rFonts w:hint="eastAsia" w:ascii="Arial" w:hAnsi="Arial" w:cs="Arial"/>
              <w:lang w:eastAsia="zh-CN"/>
            </w:rPr>
            <w:t>(</w:t>
          </w:r>
          <w:r>
            <w:rPr>
              <w:rFonts w:ascii="Arial" w:hAnsi="Arial" w:cs="Arial"/>
            </w:rPr>
            <w:t>Voltage Collapse</w:t>
          </w:r>
          <w:r>
            <w:rPr>
              <w:rFonts w:hint="eastAsia" w:ascii="Arial" w:hAnsi="Arial" w:cs="Arial"/>
              <w:lang w:eastAsia="zh-CN"/>
            </w:rPr>
            <w:t>)</w:t>
          </w:r>
          <w:r>
            <w:tab/>
          </w:r>
          <w:r>
            <w:fldChar w:fldCharType="begin"/>
          </w:r>
          <w:r>
            <w:instrText xml:space="preserve"> PAGEREF _Toc1914 \h </w:instrText>
          </w:r>
          <w:r>
            <w:fldChar w:fldCharType="separate"/>
          </w:r>
          <w:r>
            <w:t>11</w:t>
          </w:r>
          <w:r>
            <w:fldChar w:fldCharType="end"/>
          </w:r>
          <w:r>
            <w:rPr>
              <w:rFonts w:hint="default" w:ascii="Times New Roman" w:hAnsi="Times New Roman" w:cs="Times New Roman"/>
              <w:bCs/>
              <w:lang w:val="zh-CN"/>
            </w:rPr>
            <w:fldChar w:fldCharType="end"/>
          </w:r>
        </w:p>
        <w:p w14:paraId="3F3E9CE0">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_Toc26920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4.3.1 </w:t>
          </w:r>
          <w:r>
            <w:t>The Constant Power Load Constraint</w:t>
          </w:r>
          <w:r>
            <w:tab/>
          </w:r>
          <w:r>
            <w:fldChar w:fldCharType="begin"/>
          </w:r>
          <w:r>
            <w:instrText xml:space="preserve"> PAGEREF _Toc26920 \h </w:instrText>
          </w:r>
          <w:r>
            <w:fldChar w:fldCharType="separate"/>
          </w:r>
          <w:r>
            <w:t>11</w:t>
          </w:r>
          <w:r>
            <w:fldChar w:fldCharType="end"/>
          </w:r>
          <w:r>
            <w:rPr>
              <w:rFonts w:hint="default" w:ascii="Times New Roman" w:hAnsi="Times New Roman" w:cs="Times New Roman"/>
              <w:bCs/>
              <w:lang w:val="zh-CN"/>
            </w:rPr>
            <w:fldChar w:fldCharType="end"/>
          </w:r>
        </w:p>
        <w:p w14:paraId="44F09973">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_Toc20829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4.3.2 </w:t>
          </w:r>
          <w:r>
            <w:t>Analytical Solution</w:t>
          </w:r>
          <w:r>
            <w:rPr>
              <w:rFonts w:hint="eastAsia"/>
            </w:rPr>
            <w:t xml:space="preserve"> and </w:t>
          </w:r>
          <w:r>
            <w:t>Discriminant Analysis</w:t>
          </w:r>
          <w:r>
            <w:tab/>
          </w:r>
          <w:r>
            <w:fldChar w:fldCharType="begin"/>
          </w:r>
          <w:r>
            <w:instrText xml:space="preserve"> PAGEREF _Toc20829 \h </w:instrText>
          </w:r>
          <w:r>
            <w:fldChar w:fldCharType="separate"/>
          </w:r>
          <w:r>
            <w:t>11</w:t>
          </w:r>
          <w:r>
            <w:fldChar w:fldCharType="end"/>
          </w:r>
          <w:r>
            <w:rPr>
              <w:rFonts w:hint="default" w:ascii="Times New Roman" w:hAnsi="Times New Roman" w:cs="Times New Roman"/>
              <w:bCs/>
              <w:lang w:val="zh-CN"/>
            </w:rPr>
            <w:fldChar w:fldCharType="end"/>
          </w:r>
        </w:p>
        <w:p w14:paraId="74BB7B33">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_Toc26869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4.3.3 </w:t>
          </w:r>
          <w:r>
            <w:t>Current Limiting Protection Constraints</w:t>
          </w:r>
          <w:r>
            <w:tab/>
          </w:r>
          <w:r>
            <w:fldChar w:fldCharType="begin"/>
          </w:r>
          <w:r>
            <w:instrText xml:space="preserve"> PAGEREF _Toc26869 \h </w:instrText>
          </w:r>
          <w:r>
            <w:fldChar w:fldCharType="separate"/>
          </w:r>
          <w:r>
            <w:t>11</w:t>
          </w:r>
          <w:r>
            <w:fldChar w:fldCharType="end"/>
          </w:r>
          <w:r>
            <w:rPr>
              <w:rFonts w:hint="default" w:ascii="Times New Roman" w:hAnsi="Times New Roman" w:cs="Times New Roman"/>
              <w:bCs/>
              <w:lang w:val="zh-CN"/>
            </w:rPr>
            <w:fldChar w:fldCharType="end"/>
          </w:r>
        </w:p>
        <w:p w14:paraId="09E2FCE1">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_Toc2483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5 </w:t>
          </w:r>
          <w:r>
            <w:t>5. Time</w:t>
          </w:r>
          <w:r>
            <w:rPr>
              <w:rFonts w:hint="eastAsia"/>
            </w:rPr>
            <w:t xml:space="preserve"> to </w:t>
          </w:r>
          <w:r>
            <w:t>E</w:t>
          </w:r>
          <w:r>
            <w:rPr>
              <w:rFonts w:hint="eastAsia"/>
            </w:rPr>
            <w:t>mpty</w:t>
          </w:r>
          <w:r>
            <w:t xml:space="preserve"> Prediction and Uncertainty</w:t>
          </w:r>
          <w:r>
            <w:tab/>
          </w:r>
          <w:r>
            <w:fldChar w:fldCharType="begin"/>
          </w:r>
          <w:r>
            <w:instrText xml:space="preserve"> PAGEREF _Toc2483 \h </w:instrText>
          </w:r>
          <w:r>
            <w:fldChar w:fldCharType="separate"/>
          </w:r>
          <w:r>
            <w:t>12</w:t>
          </w:r>
          <w:r>
            <w:fldChar w:fldCharType="end"/>
          </w:r>
          <w:r>
            <w:rPr>
              <w:rFonts w:hint="default" w:ascii="Times New Roman" w:hAnsi="Times New Roman" w:cs="Times New Roman"/>
              <w:bCs/>
              <w:lang w:val="zh-CN"/>
            </w:rPr>
            <w:fldChar w:fldCharType="end"/>
          </w:r>
        </w:p>
        <w:p w14:paraId="6C824960">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_Toc10326 </w:instrText>
          </w:r>
          <w:r>
            <w:rPr>
              <w:rFonts w:hint="default" w:ascii="Times New Roman" w:hAnsi="Times New Roman" w:cs="Times New Roman"/>
              <w:bCs/>
              <w:lang w:val="zh-CN"/>
            </w:rPr>
            <w:fldChar w:fldCharType="separate"/>
          </w:r>
          <w:r>
            <w:t>5.1 Scenario Modelling and Solution</w:t>
          </w:r>
          <w:r>
            <w:tab/>
          </w:r>
          <w:r>
            <w:fldChar w:fldCharType="begin"/>
          </w:r>
          <w:r>
            <w:instrText xml:space="preserve"> PAGEREF _Toc10326 \h </w:instrText>
          </w:r>
          <w:r>
            <w:fldChar w:fldCharType="separate"/>
          </w:r>
          <w:r>
            <w:t>12</w:t>
          </w:r>
          <w:r>
            <w:fldChar w:fldCharType="end"/>
          </w:r>
          <w:r>
            <w:rPr>
              <w:rFonts w:hint="default" w:ascii="Times New Roman" w:hAnsi="Times New Roman" w:cs="Times New Roman"/>
              <w:bCs/>
              <w:lang w:val="zh-CN"/>
            </w:rPr>
            <w:fldChar w:fldCharType="end"/>
          </w:r>
        </w:p>
        <w:p w14:paraId="519AF132">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_Toc25485 </w:instrText>
          </w:r>
          <w:r>
            <w:rPr>
              <w:rFonts w:hint="default" w:ascii="Times New Roman" w:hAnsi="Times New Roman" w:cs="Times New Roman"/>
              <w:bCs/>
              <w:lang w:val="zh-CN"/>
            </w:rPr>
            <w:fldChar w:fldCharType="separate"/>
          </w:r>
          <w:r>
            <w:rPr>
              <w:rFonts w:hint="default" w:ascii="Times New Roman" w:hAnsi="Times New Roman" w:eastAsia="宋体" w:cs="Times New Roman"/>
            </w:rPr>
            <w:t xml:space="preserve">5.2 </w:t>
          </w:r>
          <w:r>
            <w:rPr>
              <w:rFonts w:hint="default" w:ascii="Times New Roman" w:hAnsi="Times New Roman" w:cs="Times New Roman"/>
            </w:rPr>
            <w:t>TTE Results and Discussion</w:t>
          </w:r>
          <w:r>
            <w:tab/>
          </w:r>
          <w:r>
            <w:fldChar w:fldCharType="begin"/>
          </w:r>
          <w:r>
            <w:instrText xml:space="preserve"> PAGEREF _Toc25485 \h </w:instrText>
          </w:r>
          <w:r>
            <w:fldChar w:fldCharType="separate"/>
          </w:r>
          <w:r>
            <w:t>13</w:t>
          </w:r>
          <w:r>
            <w:fldChar w:fldCharType="end"/>
          </w:r>
          <w:r>
            <w:rPr>
              <w:rFonts w:hint="default" w:ascii="Times New Roman" w:hAnsi="Times New Roman" w:cs="Times New Roman"/>
              <w:bCs/>
              <w:lang w:val="zh-CN"/>
            </w:rPr>
            <w:fldChar w:fldCharType="end"/>
          </w:r>
        </w:p>
        <w:p w14:paraId="166428A4">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_Toc24439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5.2.1 </w:t>
          </w:r>
          <w:r>
            <w:t>Analysis of TTE Distributions</w:t>
          </w:r>
          <w:r>
            <w:tab/>
          </w:r>
          <w:r>
            <w:fldChar w:fldCharType="begin"/>
          </w:r>
          <w:r>
            <w:instrText xml:space="preserve"> PAGEREF _Toc24439 \h </w:instrText>
          </w:r>
          <w:r>
            <w:fldChar w:fldCharType="separate"/>
          </w:r>
          <w:r>
            <w:t>13</w:t>
          </w:r>
          <w:r>
            <w:fldChar w:fldCharType="end"/>
          </w:r>
          <w:r>
            <w:rPr>
              <w:rFonts w:hint="default" w:ascii="Times New Roman" w:hAnsi="Times New Roman" w:cs="Times New Roman"/>
              <w:bCs/>
              <w:lang w:val="zh-CN"/>
            </w:rPr>
            <w:fldChar w:fldCharType="end"/>
          </w:r>
        </w:p>
        <w:p w14:paraId="58EB082D">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_Toc19000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5.2.2 </w:t>
          </w:r>
          <w:r>
            <w:t>Error Analysis and Quantification of Uncertainty</w:t>
          </w:r>
          <w:r>
            <w:tab/>
          </w:r>
          <w:r>
            <w:fldChar w:fldCharType="begin"/>
          </w:r>
          <w:r>
            <w:instrText xml:space="preserve"> PAGEREF _Toc19000 \h </w:instrText>
          </w:r>
          <w:r>
            <w:fldChar w:fldCharType="separate"/>
          </w:r>
          <w:r>
            <w:t>15</w:t>
          </w:r>
          <w:r>
            <w:fldChar w:fldCharType="end"/>
          </w:r>
          <w:r>
            <w:rPr>
              <w:rFonts w:hint="default" w:ascii="Times New Roman" w:hAnsi="Times New Roman" w:cs="Times New Roman"/>
              <w:bCs/>
              <w:lang w:val="zh-CN"/>
            </w:rPr>
            <w:fldChar w:fldCharType="end"/>
          </w:r>
        </w:p>
        <w:p w14:paraId="3C108762">
          <w:pPr>
            <w:pStyle w:val="8"/>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_Toc30951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5.2.3 </w:t>
          </w:r>
          <w:r>
            <w:t>Identification of Key Parameters</w:t>
          </w:r>
          <w:r>
            <w:tab/>
          </w:r>
          <w:r>
            <w:fldChar w:fldCharType="begin"/>
          </w:r>
          <w:r>
            <w:instrText xml:space="preserve"> PAGEREF _Toc30951 \h </w:instrText>
          </w:r>
          <w:r>
            <w:fldChar w:fldCharType="separate"/>
          </w:r>
          <w:r>
            <w:t>17</w:t>
          </w:r>
          <w:r>
            <w:fldChar w:fldCharType="end"/>
          </w:r>
          <w:r>
            <w:rPr>
              <w:rFonts w:hint="default" w:ascii="Times New Roman" w:hAnsi="Times New Roman" w:cs="Times New Roman"/>
              <w:bCs/>
              <w:lang w:val="zh-CN"/>
            </w:rPr>
            <w:fldChar w:fldCharType="end"/>
          </w:r>
        </w:p>
        <w:p w14:paraId="02395384">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_Toc16567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6 </w:t>
          </w:r>
          <w:r>
            <w:t>Model Sensitivity Analysis</w:t>
          </w:r>
          <w:r>
            <w:tab/>
          </w:r>
          <w:r>
            <w:fldChar w:fldCharType="begin"/>
          </w:r>
          <w:r>
            <w:instrText xml:space="preserve"> PAGEREF _Toc16567 \h </w:instrText>
          </w:r>
          <w:r>
            <w:fldChar w:fldCharType="separate"/>
          </w:r>
          <w:r>
            <w:t>18</w:t>
          </w:r>
          <w:r>
            <w:fldChar w:fldCharType="end"/>
          </w:r>
          <w:r>
            <w:rPr>
              <w:rFonts w:hint="default" w:ascii="Times New Roman" w:hAnsi="Times New Roman" w:cs="Times New Roman"/>
              <w:bCs/>
              <w:lang w:val="zh-CN"/>
            </w:rPr>
            <w:fldChar w:fldCharType="end"/>
          </w:r>
        </w:p>
        <w:p w14:paraId="769E8537">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_Toc19355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7 </w:t>
          </w:r>
          <w:r>
            <w:t>Mobile Phone Usage Optimisation Recommendations</w:t>
          </w:r>
          <w:r>
            <w:tab/>
          </w:r>
          <w:r>
            <w:fldChar w:fldCharType="begin"/>
          </w:r>
          <w:r>
            <w:instrText xml:space="preserve"> PAGEREF _Toc19355 \h </w:instrText>
          </w:r>
          <w:r>
            <w:fldChar w:fldCharType="separate"/>
          </w:r>
          <w:r>
            <w:t>19</w:t>
          </w:r>
          <w:r>
            <w:fldChar w:fldCharType="end"/>
          </w:r>
          <w:r>
            <w:rPr>
              <w:rFonts w:hint="default" w:ascii="Times New Roman" w:hAnsi="Times New Roman" w:cs="Times New Roman"/>
              <w:bCs/>
              <w:lang w:val="zh-CN"/>
            </w:rPr>
            <w:fldChar w:fldCharType="end"/>
          </w:r>
        </w:p>
        <w:p w14:paraId="067043B4">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_Toc10789 </w:instrText>
          </w:r>
          <w:r>
            <w:rPr>
              <w:rFonts w:hint="default" w:ascii="Times New Roman" w:hAnsi="Times New Roman" w:cs="Times New Roman"/>
              <w:bCs/>
              <w:lang w:val="zh-CN"/>
            </w:rPr>
            <w:fldChar w:fldCharType="separate"/>
          </w:r>
          <w:r>
            <w:rPr>
              <w:rFonts w:hint="eastAsia"/>
              <w:lang w:eastAsia="zh-CN"/>
            </w:rPr>
            <w:t xml:space="preserve">7.1 </w:t>
          </w:r>
          <w:r>
            <w:rPr>
              <w:rFonts w:hint="eastAsia"/>
            </w:rPr>
            <w:t>Recommdations</w:t>
          </w:r>
          <w:r>
            <w:rPr>
              <w:rFonts w:hint="eastAsia"/>
              <w:lang w:eastAsia="zh-CN"/>
            </w:rPr>
            <w:t>:</w:t>
          </w:r>
          <w:r>
            <w:tab/>
          </w:r>
          <w:r>
            <w:fldChar w:fldCharType="begin"/>
          </w:r>
          <w:r>
            <w:instrText xml:space="preserve"> PAGEREF _Toc10789 \h </w:instrText>
          </w:r>
          <w:r>
            <w:fldChar w:fldCharType="separate"/>
          </w:r>
          <w:r>
            <w:t>19</w:t>
          </w:r>
          <w:r>
            <w:fldChar w:fldCharType="end"/>
          </w:r>
          <w:r>
            <w:rPr>
              <w:rFonts w:hint="default" w:ascii="Times New Roman" w:hAnsi="Times New Roman" w:cs="Times New Roman"/>
              <w:bCs/>
              <w:lang w:val="zh-CN"/>
            </w:rPr>
            <w:fldChar w:fldCharType="end"/>
          </w:r>
        </w:p>
        <w:p w14:paraId="639218D6">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_Toc24154 </w:instrText>
          </w:r>
          <w:r>
            <w:rPr>
              <w:rFonts w:hint="default" w:ascii="Times New Roman" w:hAnsi="Times New Roman" w:cs="Times New Roman"/>
              <w:bCs/>
              <w:lang w:val="zh-CN"/>
            </w:rPr>
            <w:fldChar w:fldCharType="separate"/>
          </w:r>
          <w:r>
            <w:t>7.2 Operating System Policies</w:t>
          </w:r>
          <w:r>
            <w:tab/>
          </w:r>
          <w:r>
            <w:fldChar w:fldCharType="begin"/>
          </w:r>
          <w:r>
            <w:instrText xml:space="preserve"> PAGEREF _Toc24154 \h </w:instrText>
          </w:r>
          <w:r>
            <w:fldChar w:fldCharType="separate"/>
          </w:r>
          <w:r>
            <w:t>20</w:t>
          </w:r>
          <w:r>
            <w:fldChar w:fldCharType="end"/>
          </w:r>
          <w:r>
            <w:rPr>
              <w:rFonts w:hint="default" w:ascii="Times New Roman" w:hAnsi="Times New Roman" w:cs="Times New Roman"/>
              <w:bCs/>
              <w:lang w:val="zh-CN"/>
            </w:rPr>
            <w:fldChar w:fldCharType="end"/>
          </w:r>
        </w:p>
        <w:p w14:paraId="2C889E4A">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_Toc10739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8 </w:t>
          </w:r>
          <w:r>
            <w:t xml:space="preserve">Model Evaluation </w:t>
          </w:r>
          <w:r>
            <w:rPr>
              <w:rFonts w:hint="eastAsia"/>
            </w:rPr>
            <w:t>and</w:t>
          </w:r>
          <w:r>
            <w:t xml:space="preserve"> Further Discussion</w:t>
          </w:r>
          <w:r>
            <w:tab/>
          </w:r>
          <w:r>
            <w:fldChar w:fldCharType="begin"/>
          </w:r>
          <w:r>
            <w:instrText xml:space="preserve"> PAGEREF _Toc10739 \h </w:instrText>
          </w:r>
          <w:r>
            <w:fldChar w:fldCharType="separate"/>
          </w:r>
          <w:r>
            <w:t>21</w:t>
          </w:r>
          <w:r>
            <w:fldChar w:fldCharType="end"/>
          </w:r>
          <w:r>
            <w:rPr>
              <w:rFonts w:hint="default" w:ascii="Times New Roman" w:hAnsi="Times New Roman" w:cs="Times New Roman"/>
              <w:bCs/>
              <w:lang w:val="zh-CN"/>
            </w:rPr>
            <w:fldChar w:fldCharType="end"/>
          </w:r>
        </w:p>
        <w:p w14:paraId="5741FECE">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_Toc18283 </w:instrText>
          </w:r>
          <w:r>
            <w:rPr>
              <w:rFonts w:hint="default" w:ascii="Times New Roman" w:hAnsi="Times New Roman" w:cs="Times New Roman"/>
              <w:bCs/>
              <w:lang w:val="zh-CN"/>
            </w:rPr>
            <w:fldChar w:fldCharType="separate"/>
          </w:r>
          <w:r>
            <w:t>8.1 Strengths</w:t>
          </w:r>
          <w:r>
            <w:tab/>
          </w:r>
          <w:r>
            <w:fldChar w:fldCharType="begin"/>
          </w:r>
          <w:r>
            <w:instrText xml:space="preserve"> PAGEREF _Toc18283 \h </w:instrText>
          </w:r>
          <w:r>
            <w:fldChar w:fldCharType="separate"/>
          </w:r>
          <w:r>
            <w:t>21</w:t>
          </w:r>
          <w:r>
            <w:fldChar w:fldCharType="end"/>
          </w:r>
          <w:r>
            <w:rPr>
              <w:rFonts w:hint="default" w:ascii="Times New Roman" w:hAnsi="Times New Roman" w:cs="Times New Roman"/>
              <w:bCs/>
              <w:lang w:val="zh-CN"/>
            </w:rPr>
            <w:fldChar w:fldCharType="end"/>
          </w:r>
        </w:p>
        <w:p w14:paraId="723A35BA">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_Toc873 </w:instrText>
          </w:r>
          <w:r>
            <w:rPr>
              <w:rFonts w:hint="default" w:ascii="Times New Roman" w:hAnsi="Times New Roman" w:cs="Times New Roman"/>
              <w:bCs/>
              <w:lang w:val="zh-CN"/>
            </w:rPr>
            <w:fldChar w:fldCharType="separate"/>
          </w:r>
          <w:r>
            <w:t>8.2 Weakness</w:t>
          </w:r>
          <w:r>
            <w:rPr>
              <w:rFonts w:hint="eastAsia"/>
            </w:rPr>
            <w:t>es</w:t>
          </w:r>
          <w:r>
            <w:tab/>
          </w:r>
          <w:r>
            <w:fldChar w:fldCharType="begin"/>
          </w:r>
          <w:r>
            <w:instrText xml:space="preserve"> PAGEREF _Toc873 \h </w:instrText>
          </w:r>
          <w:r>
            <w:fldChar w:fldCharType="separate"/>
          </w:r>
          <w:r>
            <w:t>22</w:t>
          </w:r>
          <w:r>
            <w:fldChar w:fldCharType="end"/>
          </w:r>
          <w:r>
            <w:rPr>
              <w:rFonts w:hint="default" w:ascii="Times New Roman" w:hAnsi="Times New Roman" w:cs="Times New Roman"/>
              <w:bCs/>
              <w:lang w:val="zh-CN"/>
            </w:rPr>
            <w:fldChar w:fldCharType="end"/>
          </w:r>
        </w:p>
        <w:p w14:paraId="77544AB5">
          <w:pPr>
            <w:pStyle w:val="16"/>
            <w:tabs>
              <w:tab w:val="right" w:leader="dot" w:pos="9026"/>
              <w:tab w:val="clear" w:pos="901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_Toc4783 </w:instrText>
          </w:r>
          <w:r>
            <w:rPr>
              <w:rFonts w:hint="default" w:ascii="Times New Roman" w:hAnsi="Times New Roman" w:cs="Times New Roman"/>
              <w:bCs/>
              <w:lang w:val="zh-CN"/>
            </w:rPr>
            <w:fldChar w:fldCharType="separate"/>
          </w:r>
          <w:r>
            <w:t>8.3 Further Discussion</w:t>
          </w:r>
          <w:r>
            <w:tab/>
          </w:r>
          <w:r>
            <w:fldChar w:fldCharType="begin"/>
          </w:r>
          <w:r>
            <w:instrText xml:space="preserve"> PAGEREF _Toc4783 \h </w:instrText>
          </w:r>
          <w:r>
            <w:fldChar w:fldCharType="separate"/>
          </w:r>
          <w:r>
            <w:t>22</w:t>
          </w:r>
          <w:r>
            <w:fldChar w:fldCharType="end"/>
          </w:r>
          <w:r>
            <w:rPr>
              <w:rFonts w:hint="default" w:ascii="Times New Roman" w:hAnsi="Times New Roman" w:cs="Times New Roman"/>
              <w:bCs/>
              <w:lang w:val="zh-CN"/>
            </w:rPr>
            <w:fldChar w:fldCharType="end"/>
          </w:r>
        </w:p>
        <w:p w14:paraId="3F311498">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_Toc22990 </w:instrText>
          </w:r>
          <w:r>
            <w:rPr>
              <w:rFonts w:hint="default" w:ascii="Times New Roman" w:hAnsi="Times New Roman" w:cs="Times New Roman"/>
              <w:bCs/>
              <w:lang w:val="zh-CN"/>
            </w:rPr>
            <w:fldChar w:fldCharType="separate"/>
          </w:r>
          <w:r>
            <w:rPr>
              <w:rFonts w:hint="default" w:ascii="Times New Roman" w:hAnsi="Times New Roman" w:eastAsia="黑体"/>
              <w:i w:val="0"/>
            </w:rPr>
            <w:t xml:space="preserve">9 </w:t>
          </w:r>
          <w:r>
            <w:t>Conclusion</w:t>
          </w:r>
          <w:r>
            <w:tab/>
          </w:r>
          <w:r>
            <w:fldChar w:fldCharType="begin"/>
          </w:r>
          <w:r>
            <w:instrText xml:space="preserve"> PAGEREF _Toc22990 \h </w:instrText>
          </w:r>
          <w:r>
            <w:fldChar w:fldCharType="separate"/>
          </w:r>
          <w:r>
            <w:t>22</w:t>
          </w:r>
          <w:r>
            <w:fldChar w:fldCharType="end"/>
          </w:r>
          <w:r>
            <w:rPr>
              <w:rFonts w:hint="default" w:ascii="Times New Roman" w:hAnsi="Times New Roman" w:cs="Times New Roman"/>
              <w:bCs/>
              <w:lang w:val="zh-CN"/>
            </w:rPr>
            <w:fldChar w:fldCharType="end"/>
          </w:r>
        </w:p>
        <w:p w14:paraId="06C22AB6">
          <w:pPr>
            <w:pStyle w:val="13"/>
            <w:tabs>
              <w:tab w:val="right" w:leader="dot" w:pos="9026"/>
            </w:tabs>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_Toc10639 </w:instrText>
          </w:r>
          <w:r>
            <w:rPr>
              <w:rFonts w:hint="default" w:ascii="Times New Roman" w:hAnsi="Times New Roman" w:cs="Times New Roman"/>
              <w:bCs/>
              <w:lang w:val="zh-CN"/>
            </w:rPr>
            <w:fldChar w:fldCharType="separate"/>
          </w:r>
          <w:r>
            <w:t>References</w:t>
          </w:r>
          <w:r>
            <w:tab/>
          </w:r>
          <w:r>
            <w:fldChar w:fldCharType="begin"/>
          </w:r>
          <w:r>
            <w:instrText xml:space="preserve"> PAGEREF _Toc10639 \h </w:instrText>
          </w:r>
          <w:r>
            <w:fldChar w:fldCharType="separate"/>
          </w:r>
          <w:r>
            <w:t>23</w:t>
          </w:r>
          <w:r>
            <w:fldChar w:fldCharType="end"/>
          </w:r>
          <w:r>
            <w:rPr>
              <w:rFonts w:hint="default" w:ascii="Times New Roman" w:hAnsi="Times New Roman" w:cs="Times New Roman"/>
              <w:bCs/>
              <w:lang w:val="zh-CN"/>
            </w:rPr>
            <w:fldChar w:fldCharType="end"/>
          </w:r>
        </w:p>
        <w:p w14:paraId="7E918128">
          <w:pPr>
            <w:ind w:firstLine="0" w:firstLineChars="0"/>
            <w:rPr>
              <w:bCs/>
              <w:lang w:val="zh-CN"/>
            </w:rPr>
          </w:pPr>
          <w:r>
            <w:rPr>
              <w:rFonts w:hint="default" w:ascii="Times New Roman" w:hAnsi="Times New Roman" w:cs="Times New Roman"/>
              <w:bCs/>
              <w:lang w:val="zh-CN"/>
            </w:rPr>
            <w:fldChar w:fldCharType="end"/>
          </w:r>
        </w:p>
      </w:sdtContent>
    </w:sdt>
    <w:p w14:paraId="28776A3B">
      <w:pPr>
        <w:pStyle w:val="2"/>
      </w:pPr>
      <w:bookmarkStart w:id="0" w:name="bookmark55"/>
      <w:bookmarkStart w:id="1" w:name="bookmark57"/>
      <w:bookmarkStart w:id="2" w:name="_Toc58505769"/>
      <w:bookmarkStart w:id="3" w:name="bookmark54"/>
      <w:bookmarkStart w:id="4" w:name="_Toc25703"/>
      <w:r>
        <w:t>Introduction</w:t>
      </w:r>
      <w:bookmarkEnd w:id="0"/>
      <w:bookmarkEnd w:id="1"/>
      <w:bookmarkEnd w:id="2"/>
      <w:bookmarkEnd w:id="3"/>
      <w:bookmarkEnd w:id="4"/>
    </w:p>
    <w:p w14:paraId="2C9B5EBA">
      <w:pPr>
        <w:pStyle w:val="3"/>
        <w:spacing w:after="163"/>
      </w:pPr>
      <w:bookmarkStart w:id="5" w:name="_Toc58505770"/>
      <w:bookmarkStart w:id="6" w:name="_Toc23215"/>
      <w:r>
        <w:t>Problem Background</w:t>
      </w:r>
      <w:bookmarkEnd w:id="5"/>
      <w:bookmarkEnd w:id="6"/>
    </w:p>
    <w:p w14:paraId="1C0FE514">
      <w:pPr>
        <w:ind w:firstLine="480"/>
        <w:rPr>
          <w:rFonts w:eastAsiaTheme="minorEastAsia"/>
        </w:rPr>
      </w:pPr>
      <w:r>
        <w:t>The duration of a mobile phone battery's depletion is a crucial factor influencing the user experience of smartphone users. However, predicting battery behaviour remains a significant challenge that has long troubled both users and mobile phone manufacturers.</w:t>
      </w:r>
      <w:r>
        <w:drawing>
          <wp:inline distT="0" distB="0" distL="0" distR="0">
            <wp:extent cx="5731510" cy="2157095"/>
            <wp:effectExtent l="0" t="0" r="2540" b="0"/>
            <wp:docPr id="21354327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432700" name="图片 1"/>
                    <pic:cNvPicPr>
                      <a:picLocks noChangeAspect="1"/>
                    </pic:cNvPicPr>
                  </pic:nvPicPr>
                  <pic:blipFill>
                    <a:blip r:embed="rId21"/>
                    <a:stretch>
                      <a:fillRect/>
                    </a:stretch>
                  </pic:blipFill>
                  <pic:spPr>
                    <a:xfrm>
                      <a:off x="0" y="0"/>
                      <a:ext cx="5731510" cy="2157095"/>
                    </a:xfrm>
                    <a:prstGeom prst="rect">
                      <a:avLst/>
                    </a:prstGeom>
                  </pic:spPr>
                </pic:pic>
              </a:graphicData>
            </a:graphic>
          </wp:inline>
        </w:drawing>
      </w:r>
    </w:p>
    <w:p w14:paraId="00022379">
      <w:pPr>
        <w:pStyle w:val="50"/>
        <w:spacing w:after="163"/>
        <w:rPr>
          <w:rFonts w:eastAsiaTheme="minorEastAsia"/>
        </w:rPr>
      </w:pPr>
      <w:r>
        <w:rPr>
          <w:rFonts w:eastAsiaTheme="minorEastAsia"/>
        </w:rPr>
        <w:t>Battery behavior curves for some mobile phones</w:t>
      </w:r>
    </w:p>
    <w:p w14:paraId="32BEFB9A">
      <w:pPr>
        <w:ind w:firstLine="480"/>
      </w:pPr>
      <w:r>
        <w:t>As illustrated above, this graph depicts the State of Charge (SOC) curves for several mobile phones, revealing significant differences in their battery behaviour. Whilst usage intensity may provide a rough estimate of remaining runtime, actual battery power consumption is determined by numerous factors including screen size and brightness, processor power draw, background applications, environmental conditions, and battery usage history. Consequently, establishing a model capable of accurately describing battery behaviour and predicting the time until power depletion holds significant theoretical and engineering application value.</w:t>
      </w:r>
    </w:p>
    <w:p w14:paraId="0AC6D32C">
      <w:pPr>
        <w:ind w:firstLine="480"/>
      </w:pPr>
    </w:p>
    <w:p w14:paraId="3E747BD9">
      <w:pPr>
        <w:pStyle w:val="3"/>
        <w:spacing w:after="163"/>
      </w:pPr>
      <w:bookmarkStart w:id="7" w:name="_Toc58505771"/>
      <w:bookmarkStart w:id="8" w:name="_Toc32529"/>
      <w:bookmarkStart w:id="9" w:name="_Hlk58235858"/>
      <w:r>
        <w:t>Restatement of the Problem</w:t>
      </w:r>
      <w:bookmarkEnd w:id="7"/>
      <w:bookmarkEnd w:id="8"/>
    </w:p>
    <w:bookmarkEnd w:id="9"/>
    <w:p w14:paraId="25D77E3C">
      <w:pPr>
        <w:ind w:firstLine="480"/>
      </w:pPr>
      <w:r>
        <w:t>Considering the background information and restricted conditions identified in the problem statement, we need to solve the following problems</w:t>
      </w:r>
      <w:r>
        <w:rPr>
          <w:rFonts w:hint="eastAsia"/>
        </w:rPr>
        <w:t>:</w:t>
      </w:r>
    </w:p>
    <w:p w14:paraId="1DE4FFB8">
      <w:pPr>
        <w:pStyle w:val="29"/>
        <w:numPr>
          <w:ilvl w:val="0"/>
          <w:numId w:val="2"/>
        </w:numPr>
        <w:ind w:firstLineChars="0"/>
      </w:pPr>
      <w:r>
        <w:rPr>
          <w:rFonts w:hint="eastAsia"/>
        </w:rPr>
        <w:t>Task 1</w:t>
      </w:r>
      <w:r>
        <w:rPr>
          <w:rFonts w:hint="eastAsia"/>
          <w:lang w:eastAsia="zh-CN"/>
        </w:rPr>
        <w:t xml:space="preserve">: </w:t>
      </w:r>
      <w:r>
        <w:t>Establish a continuous-time model to simulate battery behaviour and state-of-charge (SOC) variation under multiple operating conditions.</w:t>
      </w:r>
    </w:p>
    <w:p w14:paraId="353362B1">
      <w:pPr>
        <w:ind w:firstLine="480"/>
      </w:pPr>
      <w:r>
        <w:t>Establish a multi-factor ordinary differential equation system to quantify the continuous impact on State of Charge (SOC) across multiple operating conditions by fitting key physical parameters, thereby obtaining numerical solution curves for terminal voltage versus time.</w:t>
      </w:r>
    </w:p>
    <w:p w14:paraId="511572DB">
      <w:pPr>
        <w:pStyle w:val="29"/>
        <w:numPr>
          <w:ilvl w:val="0"/>
          <w:numId w:val="2"/>
        </w:numPr>
        <w:ind w:firstLineChars="0"/>
      </w:pPr>
      <w:r>
        <w:rPr>
          <w:rFonts w:hint="eastAsia"/>
        </w:rPr>
        <w:t>Task 2</w:t>
      </w:r>
      <w:r>
        <w:rPr>
          <w:rFonts w:hint="eastAsia"/>
          <w:lang w:eastAsia="zh-CN"/>
        </w:rPr>
        <w:t xml:space="preserve">: </w:t>
      </w:r>
      <w:r>
        <w:t>Predict battery depletion time and utilise multi-scenario comparisons to evaluate model performance</w:t>
      </w:r>
    </w:p>
    <w:p w14:paraId="71ADD5A2">
      <w:pPr>
        <w:pStyle w:val="29"/>
        <w:numPr>
          <w:ilvl w:val="0"/>
          <w:numId w:val="3"/>
        </w:numPr>
        <w:ind w:firstLineChars="0"/>
      </w:pPr>
      <w:r>
        <w:t>Investigating the Causes of Rapid Battery Drain Across Multiple Scenarios</w:t>
      </w:r>
    </w:p>
    <w:p w14:paraId="62A5C182">
      <w:pPr>
        <w:pStyle w:val="29"/>
        <w:numPr>
          <w:ilvl w:val="0"/>
          <w:numId w:val="3"/>
        </w:numPr>
        <w:ind w:firstLineChars="0"/>
      </w:pPr>
      <w:r>
        <w:t>Identifying the culprit behind shortened battery life</w:t>
      </w:r>
    </w:p>
    <w:p w14:paraId="758BBB7E">
      <w:pPr>
        <w:pStyle w:val="29"/>
        <w:numPr>
          <w:ilvl w:val="0"/>
          <w:numId w:val="3"/>
        </w:numPr>
        <w:ind w:firstLineChars="0"/>
      </w:pPr>
      <w:r>
        <w:t>Identifying factors with unexpectedly minor influence on model prediction outcomes</w:t>
      </w:r>
    </w:p>
    <w:p w14:paraId="4B4FCCF3">
      <w:pPr>
        <w:ind w:firstLine="480"/>
      </w:pPr>
      <w:r>
        <w:t>By modelling calculations of multiple initial charge states and battery depletion times under operational conditions, we identified factors influencing both battery depletion time and overall battery lifespan.</w:t>
      </w:r>
    </w:p>
    <w:p w14:paraId="501D609B">
      <w:pPr>
        <w:pStyle w:val="29"/>
        <w:numPr>
          <w:ilvl w:val="0"/>
          <w:numId w:val="2"/>
        </w:numPr>
        <w:ind w:firstLineChars="0"/>
      </w:pPr>
      <w:r>
        <w:rPr>
          <w:rFonts w:hint="eastAsia"/>
        </w:rPr>
        <w:t>Task</w:t>
      </w:r>
      <w:r>
        <w:t xml:space="preserve"> 3</w:t>
      </w:r>
      <w:r>
        <w:rPr>
          <w:rFonts w:hint="eastAsia"/>
          <w:lang w:eastAsia="zh-CN"/>
        </w:rPr>
        <w:t xml:space="preserve">: </w:t>
      </w:r>
      <w:r>
        <w:t>Conducting assumptions and sensitivity analysis</w:t>
      </w:r>
    </w:p>
    <w:p w14:paraId="53FDE67A">
      <w:pPr>
        <w:pStyle w:val="29"/>
        <w:numPr>
          <w:ilvl w:val="0"/>
          <w:numId w:val="2"/>
        </w:numPr>
        <w:ind w:firstLineChars="0"/>
      </w:pPr>
      <w:r>
        <w:rPr>
          <w:rFonts w:hint="eastAsia"/>
        </w:rPr>
        <w:t>Task 4</w:t>
      </w:r>
      <w:r>
        <w:rPr>
          <w:rFonts w:hint="eastAsia"/>
          <w:lang w:eastAsia="zh-CN"/>
        </w:rPr>
        <w:t xml:space="preserve">: </w:t>
      </w:r>
      <w:r>
        <w:t>Developing model-based battery usage optimisation strategies</w:t>
      </w:r>
    </w:p>
    <w:p w14:paraId="6566F62F">
      <w:pPr>
        <w:ind w:firstLine="480"/>
      </w:pPr>
    </w:p>
    <w:p w14:paraId="265F4621">
      <w:pPr>
        <w:ind w:firstLine="480"/>
      </w:pPr>
      <w:r>
        <w:t>Translating research findings into practical recommendations that optimise mobile phone usage strategies can help users extend battery life and reduce battery degradation.</w:t>
      </w:r>
      <w:bookmarkStart w:id="10" w:name="_Toc58505773"/>
    </w:p>
    <w:p w14:paraId="3DE40E38">
      <w:pPr>
        <w:ind w:firstLine="480"/>
      </w:pPr>
    </w:p>
    <w:bookmarkEnd w:id="10"/>
    <w:p w14:paraId="49F21448">
      <w:pPr>
        <w:pStyle w:val="3"/>
        <w:spacing w:after="163"/>
        <w:rPr>
          <w:rFonts w:hint="eastAsia"/>
        </w:rPr>
      </w:pPr>
      <w:bookmarkStart w:id="11" w:name="_Toc18286"/>
      <w:r>
        <w:rPr>
          <w:rFonts w:hint="eastAsia"/>
        </w:rPr>
        <w:t>Our Work</w:t>
      </w:r>
      <w:bookmarkEnd w:id="11"/>
    </w:p>
    <w:p w14:paraId="4CFC65E8">
      <w:pPr>
        <w:pStyle w:val="30"/>
        <w:jc w:val="left"/>
        <w:rPr>
          <w:color w:val="FF0000"/>
        </w:rPr>
      </w:pPr>
    </w:p>
    <w:p w14:paraId="0AC2B42E">
      <w:pPr>
        <w:pStyle w:val="30"/>
      </w:pPr>
      <w:r>
        <w:drawing>
          <wp:inline distT="0" distB="0" distL="0" distR="0">
            <wp:extent cx="5731510" cy="4718685"/>
            <wp:effectExtent l="0" t="0" r="2540" b="5715"/>
            <wp:docPr id="1075751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751454" name="图片 1"/>
                    <pic:cNvPicPr>
                      <a:picLocks noChangeAspect="1"/>
                    </pic:cNvPicPr>
                  </pic:nvPicPr>
                  <pic:blipFill>
                    <a:blip r:embed="rId22"/>
                    <a:stretch>
                      <a:fillRect/>
                    </a:stretch>
                  </pic:blipFill>
                  <pic:spPr>
                    <a:xfrm>
                      <a:off x="0" y="0"/>
                      <a:ext cx="5731510" cy="4718685"/>
                    </a:xfrm>
                    <a:prstGeom prst="rect">
                      <a:avLst/>
                    </a:prstGeom>
                  </pic:spPr>
                </pic:pic>
              </a:graphicData>
            </a:graphic>
          </wp:inline>
        </w:drawing>
      </w:r>
    </w:p>
    <w:p w14:paraId="21C1FD5C">
      <w:pPr>
        <w:pStyle w:val="50"/>
        <w:spacing w:after="163"/>
      </w:pPr>
      <w:r>
        <w:rPr>
          <w:rFonts w:eastAsiaTheme="minorEastAsia"/>
        </w:rPr>
        <w:t>O</w:t>
      </w:r>
      <w:r>
        <w:rPr>
          <w:rFonts w:hint="eastAsia" w:eastAsiaTheme="minorEastAsia"/>
        </w:rPr>
        <w:t>ur</w:t>
      </w:r>
      <w:r>
        <w:rPr>
          <w:rFonts w:eastAsiaTheme="minorEastAsia"/>
        </w:rPr>
        <w:t xml:space="preserve"> W</w:t>
      </w:r>
      <w:r>
        <w:rPr>
          <w:rFonts w:hint="eastAsia" w:eastAsiaTheme="minorEastAsia"/>
        </w:rPr>
        <w:t>ork</w:t>
      </w:r>
    </w:p>
    <w:p w14:paraId="661B97CC">
      <w:pPr>
        <w:pStyle w:val="30"/>
        <w:jc w:val="left"/>
        <w:rPr>
          <w:color w:val="FF0000"/>
        </w:rPr>
      </w:pPr>
    </w:p>
    <w:p w14:paraId="2655E9C6">
      <w:pPr>
        <w:pStyle w:val="30"/>
      </w:pPr>
    </w:p>
    <w:p w14:paraId="3D7C2D14">
      <w:pPr>
        <w:pStyle w:val="2"/>
      </w:pPr>
      <w:bookmarkStart w:id="12" w:name="_Toc58505774"/>
      <w:bookmarkStart w:id="13" w:name="_Toc11320"/>
      <w:r>
        <w:t>Assumptions and Justifications</w:t>
      </w:r>
      <w:bookmarkEnd w:id="12"/>
      <w:bookmarkEnd w:id="13"/>
    </w:p>
    <w:p w14:paraId="3025DCFB">
      <w:pPr>
        <w:pStyle w:val="29"/>
        <w:numPr>
          <w:ilvl w:val="1"/>
          <w:numId w:val="4"/>
        </w:numPr>
        <w:ind w:firstLineChars="0"/>
      </w:pPr>
      <w:r>
        <w:rPr>
          <w:rFonts w:hint="eastAsia"/>
        </w:rPr>
        <w:t>Assumption 1:</w:t>
      </w:r>
      <w:r>
        <w:t xml:space="preserve"> Assuming the electrical characteristics of the battery can be simplified to a first-order Thevenin equivalent circuit model, comprising an ohmic internal resistance </w:t>
      </w:r>
      <w:r>
        <w:rPr>
          <w:position w:val="-9"/>
        </w:rPr>
        <w:object>
          <v:shape id="_x0000_i1030" o:spt="75" type="#_x0000_t75" style="height:15.35pt;width:16pt;" o:ole="t" filled="f" coordsize="21600,21600">
            <v:path/>
            <v:fill on="f" focussize="0,0"/>
            <v:stroke/>
            <v:imagedata r:id="rId24" o:title=""/>
            <o:lock v:ext="edit" aspectratio="t"/>
            <w10:wrap type="none"/>
            <w10:anchorlock/>
          </v:shape>
          <o:OLEObject Type="Embed" ProgID="Equation.AxMath" ShapeID="_x0000_i1030" DrawAspect="Content" ObjectID="_1468075729" r:id="rId23">
            <o:LockedField>false</o:LockedField>
          </o:OLEObject>
        </w:object>
      </w:r>
      <w:r>
        <w:t xml:space="preserve"> and an RC parallel branch.</w:t>
      </w:r>
    </w:p>
    <w:p w14:paraId="6BEED0C6">
      <w:pPr>
        <w:pStyle w:val="29"/>
        <w:numPr>
          <w:ilvl w:val="0"/>
          <w:numId w:val="5"/>
        </w:numPr>
        <w:ind w:firstLineChars="0"/>
      </w:pPr>
      <w:r>
        <w:t>Justification:</w:t>
      </w:r>
      <w:r>
        <w:rPr>
          <w:rFonts w:hint="eastAsia"/>
        </w:rPr>
        <w:t xml:space="preserve"> </w:t>
      </w:r>
      <w:r>
        <w:t xml:space="preserve">By assuming the battery conforms to the ECM model, not only is computational complexity reduced, but model accuracy is also ensured. </w:t>
      </w:r>
    </w:p>
    <w:p w14:paraId="75AE2716">
      <w:pPr>
        <w:pStyle w:val="29"/>
        <w:ind w:left="920" w:firstLine="0" w:firstLineChars="0"/>
        <w:rPr>
          <w:rFonts w:hint="eastAsia"/>
        </w:rPr>
      </w:pPr>
    </w:p>
    <w:p w14:paraId="34CFE285">
      <w:pPr>
        <w:pStyle w:val="29"/>
        <w:numPr>
          <w:ilvl w:val="1"/>
          <w:numId w:val="4"/>
        </w:numPr>
        <w:ind w:firstLineChars="0"/>
      </w:pPr>
      <w:r>
        <w:rPr>
          <w:rFonts w:hint="eastAsia"/>
        </w:rPr>
        <w:t>Assumption 2:</w:t>
      </w:r>
      <w:r>
        <w:t xml:space="preserve"> Assume that the power management integrated circuit (PMIC) and DC-DC converter within the mobile phone exhibit constant power load characteristics.</w:t>
      </w:r>
    </w:p>
    <w:p w14:paraId="6A3E41DD">
      <w:pPr>
        <w:pStyle w:val="29"/>
        <w:numPr>
          <w:ilvl w:val="0"/>
          <w:numId w:val="6"/>
        </w:numPr>
        <w:ind w:firstLineChars="0"/>
      </w:pPr>
      <w:r>
        <w:t>Justification: During battery discharge, modern electronic devices typically regulate current based on voltage to maintain constant power output.</w:t>
      </w:r>
    </w:p>
    <w:p w14:paraId="5D8E648F">
      <w:pPr>
        <w:pStyle w:val="29"/>
        <w:ind w:left="920" w:firstLine="0" w:firstLineChars="0"/>
        <w:rPr>
          <w:rFonts w:hint="eastAsia"/>
        </w:rPr>
      </w:pPr>
    </w:p>
    <w:p w14:paraId="1E57AF64">
      <w:pPr>
        <w:pStyle w:val="29"/>
        <w:numPr>
          <w:ilvl w:val="1"/>
          <w:numId w:val="4"/>
        </w:numPr>
        <w:ind w:firstLineChars="0"/>
      </w:pPr>
      <w:r>
        <w:rPr>
          <w:rFonts w:hint="eastAsia"/>
        </w:rPr>
        <w:t>Assumption 3:</w:t>
      </w:r>
      <w:r>
        <w:t xml:space="preserve"> Assuming the battery's</w:t>
      </w:r>
      <w:r>
        <w:rPr>
          <w:rFonts w:hint="eastAsia"/>
        </w:rPr>
        <w:t xml:space="preserve"> state of</w:t>
      </w:r>
      <w:r>
        <w:t xml:space="preserve"> health remains unchanged during a single charge-discharge cycle</w:t>
      </w:r>
    </w:p>
    <w:p w14:paraId="7739637F">
      <w:pPr>
        <w:pStyle w:val="29"/>
        <w:numPr>
          <w:ilvl w:val="0"/>
          <w:numId w:val="6"/>
        </w:numPr>
        <w:ind w:firstLineChars="0"/>
      </w:pPr>
      <w:r>
        <w:rPr>
          <w:rFonts w:hint="eastAsia"/>
        </w:rPr>
        <w:t>Justification</w:t>
      </w:r>
      <w:r>
        <w:rPr>
          <w:rFonts w:hint="eastAsia"/>
          <w:lang w:eastAsia="zh-CN"/>
        </w:rPr>
        <w:t xml:space="preserve">: </w:t>
      </w:r>
      <w:r>
        <w:t>The impact of a single charge-discharge cycle on battery SOH is negligible; for model simplification, SOH is considered constant.</w:t>
      </w:r>
    </w:p>
    <w:p w14:paraId="7BB8933A">
      <w:pPr>
        <w:pStyle w:val="29"/>
        <w:ind w:left="920" w:firstLine="0" w:firstLineChars="0"/>
        <w:rPr>
          <w:rFonts w:hint="eastAsia"/>
        </w:rPr>
      </w:pPr>
    </w:p>
    <w:p w14:paraId="54D52778">
      <w:pPr>
        <w:pStyle w:val="29"/>
        <w:numPr>
          <w:ilvl w:val="1"/>
          <w:numId w:val="4"/>
        </w:numPr>
        <w:ind w:firstLineChars="0"/>
      </w:pPr>
      <w:r>
        <w:rPr>
          <w:rFonts w:hint="eastAsia"/>
        </w:rPr>
        <w:t>Assumption 4</w:t>
      </w:r>
      <w:r>
        <w:rPr>
          <w:rFonts w:hint="eastAsia"/>
          <w:lang w:eastAsia="zh-CN"/>
        </w:rPr>
        <w:t xml:space="preserve">: </w:t>
      </w:r>
      <w:r>
        <w:t>Assuming the total power of the equipment is the sum of the power of each subsystem, with different subsystems operating independently of one another.</w:t>
      </w:r>
    </w:p>
    <w:p w14:paraId="575AE7C6">
      <w:pPr>
        <w:pStyle w:val="29"/>
        <w:numPr>
          <w:ilvl w:val="0"/>
          <w:numId w:val="7"/>
        </w:numPr>
        <w:ind w:firstLineChars="0"/>
      </w:pPr>
      <w:r>
        <w:rPr>
          <w:rFonts w:hint="eastAsia"/>
        </w:rPr>
        <w:t>Justification</w:t>
      </w:r>
      <w:r>
        <w:rPr>
          <w:rFonts w:hint="eastAsia"/>
          <w:lang w:eastAsia="zh-CN"/>
        </w:rPr>
        <w:t xml:space="preserve">: </w:t>
      </w:r>
      <w:r>
        <w:t>Independent analysis of each subsystem reduces model complexity and enhances physical interpretability.</w:t>
      </w:r>
    </w:p>
    <w:p w14:paraId="12CB3C11">
      <w:pPr>
        <w:pStyle w:val="2"/>
      </w:pPr>
      <w:bookmarkStart w:id="14" w:name="_Toc58505775"/>
      <w:bookmarkStart w:id="15" w:name="_Toc26855"/>
      <w:r>
        <w:t>Notations</w:t>
      </w:r>
      <w:bookmarkEnd w:id="14"/>
      <w:bookmarkEnd w:id="15"/>
    </w:p>
    <w:p w14:paraId="4C9BFFD8">
      <w:pPr>
        <w:spacing w:after="163" w:afterLines="50"/>
        <w:ind w:firstLine="480"/>
      </w:pPr>
      <w:r>
        <w:t>The key mathematical notations used in this paper are listed in Table 1</w:t>
      </w:r>
      <w:r>
        <w:rPr>
          <w:rFonts w:hint="eastAsia"/>
        </w:rPr>
        <w:t>.</w:t>
      </w:r>
    </w:p>
    <w:p w14:paraId="7562ACAA">
      <w:pPr>
        <w:pStyle w:val="51"/>
        <w:spacing w:before="163"/>
      </w:pPr>
      <w:r>
        <w:t>Notations used in this paper</w:t>
      </w:r>
    </w:p>
    <w:tbl>
      <w:tblPr>
        <w:tblStyle w:val="34"/>
        <w:tblW w:w="0" w:type="auto"/>
        <w:jc w:val="center"/>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56"/>
        <w:gridCol w:w="6378"/>
      </w:tblGrid>
      <w:tr w14:paraId="7D707817">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tcBorders>
              <w:top w:val="single" w:color="auto" w:sz="12" w:space="0"/>
              <w:left w:val="nil"/>
              <w:bottom w:val="single" w:color="auto" w:sz="6" w:space="0"/>
              <w:right w:val="nil"/>
              <w:insideH w:val="single" w:sz="6" w:space="0"/>
              <w:insideV w:val="nil"/>
              <w:tl2br w:val="nil"/>
              <w:tr2bl w:val="nil"/>
            </w:tcBorders>
            <w:vAlign w:val="center"/>
          </w:tcPr>
          <w:p w14:paraId="1C3935EE">
            <w:pPr>
              <w:ind w:firstLine="0" w:firstLineChars="0"/>
              <w:jc w:val="center"/>
              <w:rPr>
                <w:b/>
                <w:bCs/>
              </w:rPr>
            </w:pPr>
            <w:r>
              <w:rPr>
                <w:b/>
                <w:bCs/>
              </w:rPr>
              <w:t>Symbol</w:t>
            </w:r>
          </w:p>
        </w:tc>
        <w:tc>
          <w:tcPr>
            <w:tcW w:w="6378" w:type="dxa"/>
            <w:tcBorders>
              <w:top w:val="single" w:color="auto" w:sz="12" w:space="0"/>
              <w:bottom w:val="single" w:color="auto" w:sz="6" w:space="0"/>
              <w:right w:val="nil"/>
              <w:insideH w:val="single" w:sz="6" w:space="0"/>
              <w:insideV w:val="nil"/>
              <w:tl2br w:val="nil"/>
              <w:tr2bl w:val="nil"/>
            </w:tcBorders>
            <w:vAlign w:val="center"/>
          </w:tcPr>
          <w:p w14:paraId="59D6BB2F">
            <w:pPr>
              <w:ind w:firstLine="0" w:firstLineChars="0"/>
              <w:jc w:val="center"/>
              <w:rPr>
                <w:b/>
                <w:bCs/>
              </w:rPr>
            </w:pPr>
            <w:r>
              <w:rPr>
                <w:b/>
                <w:bCs/>
              </w:rPr>
              <w:t>Description</w:t>
            </w:r>
          </w:p>
        </w:tc>
      </w:tr>
      <w:tr w14:paraId="5570F1CE">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5EBBF2BB">
            <w:pPr>
              <w:tabs>
                <w:tab w:val="center" w:pos="390"/>
                <w:tab w:val="right" w:pos="780"/>
              </w:tabs>
              <w:adjustRightInd w:val="0"/>
              <w:snapToGrid w:val="0"/>
              <w:ind w:firstLine="0" w:firstLineChars="0"/>
            </w:pPr>
            <w:r>
              <w:tab/>
            </w:r>
            <w:r>
              <w:rPr>
                <w:position w:val="-9"/>
              </w:rPr>
              <w:object>
                <v:shape id="_x0000_i1031" o:spt="75" type="#_x0000_t75" style="height:15.35pt;width:8.65pt;" o:ole="t" filled="f" coordsize="21600,21600">
                  <v:path/>
                  <v:fill on="f" focussize="0,0"/>
                  <v:stroke/>
                  <v:imagedata r:id="rId26" o:title=""/>
                  <o:lock v:ext="edit" aspectratio="t"/>
                  <w10:wrap type="none"/>
                  <w10:anchorlock/>
                </v:shape>
                <o:OLEObject Type="Embed" ProgID="Equation.AxMath" ShapeID="_x0000_i1031" DrawAspect="Content" ObjectID="_1468075730" r:id="rId25">
                  <o:LockedField>false</o:LockedField>
                </o:OLEObject>
              </w:object>
            </w:r>
          </w:p>
        </w:tc>
        <w:tc>
          <w:tcPr>
            <w:tcW w:w="6378" w:type="dxa"/>
            <w:vAlign w:val="center"/>
          </w:tcPr>
          <w:p w14:paraId="6B5BCAD2">
            <w:pPr>
              <w:adjustRightInd w:val="0"/>
              <w:snapToGrid w:val="0"/>
              <w:ind w:firstLine="0" w:firstLineChars="0"/>
              <w:jc w:val="center"/>
            </w:pPr>
            <w:r>
              <w:rPr>
                <w:rFonts w:hint="eastAsia"/>
              </w:rPr>
              <w:t>SOC</w:t>
            </w:r>
          </w:p>
        </w:tc>
      </w:tr>
      <w:tr w14:paraId="12BB1EBF">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68F93F4E">
            <w:pPr>
              <w:adjustRightInd w:val="0"/>
              <w:snapToGrid w:val="0"/>
              <w:ind w:firstLine="0" w:firstLineChars="0"/>
              <w:jc w:val="center"/>
            </w:pPr>
            <w:r>
              <w:rPr>
                <w:position w:val="-9"/>
              </w:rPr>
              <w:object>
                <v:shape id="_x0000_i1032" o:spt="75" type="#_x0000_t75" style="height:15.35pt;width:19.35pt;" o:ole="t" filled="f" coordsize="21600,21600">
                  <v:path/>
                  <v:fill on="f" focussize="0,0"/>
                  <v:stroke/>
                  <v:imagedata r:id="rId28" o:title=""/>
                  <o:lock v:ext="edit" aspectratio="t"/>
                  <w10:wrap type="none"/>
                  <w10:anchorlock/>
                </v:shape>
                <o:OLEObject Type="Embed" ProgID="Equation.AxMath" ShapeID="_x0000_i1032" DrawAspect="Content" ObjectID="_1468075731" r:id="rId27">
                  <o:LockedField>false</o:LockedField>
                </o:OLEObject>
              </w:object>
            </w:r>
          </w:p>
        </w:tc>
        <w:tc>
          <w:tcPr>
            <w:tcW w:w="6378" w:type="dxa"/>
            <w:vAlign w:val="center"/>
          </w:tcPr>
          <w:p w14:paraId="3CFE7A83">
            <w:pPr>
              <w:adjustRightInd w:val="0"/>
              <w:snapToGrid w:val="0"/>
              <w:ind w:firstLine="0" w:firstLineChars="0"/>
              <w:jc w:val="center"/>
            </w:pPr>
            <w:r>
              <w:t>T</w:t>
            </w:r>
            <w:r>
              <w:rPr>
                <w:rFonts w:hint="eastAsia"/>
              </w:rPr>
              <w:t>otal Comsumption</w:t>
            </w:r>
          </w:p>
        </w:tc>
      </w:tr>
      <w:tr w14:paraId="022EDD23">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2F974993">
            <w:pPr>
              <w:adjustRightInd w:val="0"/>
              <w:snapToGrid w:val="0"/>
              <w:ind w:firstLine="0" w:firstLineChars="0"/>
              <w:jc w:val="center"/>
            </w:pPr>
            <w:r>
              <w:rPr>
                <w:position w:val="-9"/>
              </w:rPr>
              <w:object>
                <v:shape id="_x0000_i1033" o:spt="75" type="#_x0000_t75" style="height:15.35pt;width:14pt;" o:ole="t" filled="f" coordsize="21600,21600">
                  <v:path/>
                  <v:fill on="f" focussize="0,0"/>
                  <v:stroke/>
                  <v:imagedata r:id="rId30" o:title=""/>
                  <o:lock v:ext="edit" aspectratio="t"/>
                  <w10:wrap type="none"/>
                  <w10:anchorlock/>
                </v:shape>
                <o:OLEObject Type="Embed" ProgID="Equation.AxMath" ShapeID="_x0000_i1033" DrawAspect="Content" ObjectID="_1468075732" r:id="rId29">
                  <o:LockedField>false</o:LockedField>
                </o:OLEObject>
              </w:object>
            </w:r>
          </w:p>
        </w:tc>
        <w:tc>
          <w:tcPr>
            <w:tcW w:w="6378" w:type="dxa"/>
            <w:vAlign w:val="center"/>
          </w:tcPr>
          <w:p w14:paraId="59EE4B1E">
            <w:pPr>
              <w:adjustRightInd w:val="0"/>
              <w:snapToGrid w:val="0"/>
              <w:ind w:firstLine="0" w:firstLineChars="0"/>
              <w:jc w:val="center"/>
            </w:pPr>
            <w:r>
              <w:t>Ambient temperature</w:t>
            </w:r>
          </w:p>
        </w:tc>
      </w:tr>
      <w:tr w14:paraId="257E24B0">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5AE64169">
            <w:pPr>
              <w:adjustRightInd w:val="0"/>
              <w:snapToGrid w:val="0"/>
              <w:ind w:firstLine="0" w:firstLineChars="0"/>
              <w:jc w:val="center"/>
            </w:pPr>
            <w:r>
              <w:rPr>
                <w:position w:val="-9"/>
              </w:rPr>
              <w:object>
                <v:shape id="_x0000_i1034" o:spt="75" type="#_x0000_t75" style="height:15.35pt;width:10.65pt;" o:ole="t" filled="f" coordsize="21600,21600">
                  <v:path/>
                  <v:fill on="f" focussize="0,0"/>
                  <v:stroke/>
                  <v:imagedata r:id="rId32" o:title=""/>
                  <o:lock v:ext="edit" aspectratio="t"/>
                  <w10:wrap type="none"/>
                  <w10:anchorlock/>
                </v:shape>
                <o:OLEObject Type="Embed" ProgID="Equation.AxMath" ShapeID="_x0000_i1034" DrawAspect="Content" ObjectID="_1468075733" r:id="rId31">
                  <o:LockedField>false</o:LockedField>
                </o:OLEObject>
              </w:object>
            </w:r>
          </w:p>
        </w:tc>
        <w:tc>
          <w:tcPr>
            <w:tcW w:w="6378" w:type="dxa"/>
            <w:vAlign w:val="center"/>
          </w:tcPr>
          <w:p w14:paraId="4E682DBE">
            <w:pPr>
              <w:adjustRightInd w:val="0"/>
              <w:snapToGrid w:val="0"/>
              <w:ind w:firstLine="0" w:firstLineChars="0"/>
              <w:jc w:val="center"/>
            </w:pPr>
            <w:r>
              <w:t>State of Health (SOH)</w:t>
            </w:r>
          </w:p>
        </w:tc>
      </w:tr>
      <w:tr w14:paraId="754E7451">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735228C2">
            <w:pPr>
              <w:tabs>
                <w:tab w:val="center" w:pos="390"/>
                <w:tab w:val="right" w:pos="780"/>
              </w:tabs>
              <w:adjustRightInd w:val="0"/>
              <w:snapToGrid w:val="0"/>
              <w:ind w:firstLine="0" w:firstLineChars="0"/>
              <w:jc w:val="center"/>
            </w:pPr>
            <w:r>
              <w:tab/>
            </w:r>
            <w:r>
              <w:rPr>
                <w:position w:val="-10"/>
              </w:rPr>
              <w:object>
                <v:shape id="_x0000_i1035" o:spt="75" type="#_x0000_t75" style="height:16pt;width:42pt;" o:ole="t" filled="f" coordsize="21600,21600">
                  <v:path/>
                  <v:fill on="f" focussize="0,0"/>
                  <v:stroke/>
                  <v:imagedata r:id="rId34" o:title=""/>
                  <o:lock v:ext="edit" aspectratio="t"/>
                  <w10:wrap type="none"/>
                  <w10:anchorlock/>
                </v:shape>
                <o:OLEObject Type="Embed" ProgID="Equation.AxMath" ShapeID="_x0000_i1035" DrawAspect="Content" ObjectID="_1468075734" r:id="rId33">
                  <o:LockedField>false</o:LockedField>
                </o:OLEObject>
              </w:object>
            </w:r>
          </w:p>
        </w:tc>
        <w:tc>
          <w:tcPr>
            <w:tcW w:w="6378" w:type="dxa"/>
            <w:vAlign w:val="center"/>
          </w:tcPr>
          <w:p w14:paraId="31F29CDA">
            <w:pPr>
              <w:adjustRightInd w:val="0"/>
              <w:snapToGrid w:val="0"/>
              <w:ind w:firstLine="0" w:firstLineChars="0"/>
              <w:jc w:val="center"/>
            </w:pPr>
            <w:r>
              <w:t>T</w:t>
            </w:r>
            <w:r>
              <w:rPr>
                <w:rFonts w:hint="eastAsia"/>
              </w:rPr>
              <w:t>erminal Voltage</w:t>
            </w:r>
          </w:p>
        </w:tc>
      </w:tr>
      <w:tr w14:paraId="0E37B19C">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5DD146E1">
            <w:pPr>
              <w:tabs>
                <w:tab w:val="center" w:pos="420"/>
                <w:tab w:val="right" w:pos="840"/>
              </w:tabs>
              <w:adjustRightInd w:val="0"/>
              <w:snapToGrid w:val="0"/>
              <w:ind w:firstLine="0" w:firstLineChars="0"/>
              <w:jc w:val="center"/>
            </w:pPr>
            <w:r>
              <w:tab/>
            </w:r>
            <w:r>
              <w:rPr>
                <w:position w:val="-9"/>
              </w:rPr>
              <w:object>
                <v:shape id="_x0000_i1036" o:spt="75" type="#_x0000_t75" style="height:15.35pt;width:16pt;" o:ole="t" filled="f" coordsize="21600,21600">
                  <v:path/>
                  <v:fill on="f" focussize="0,0"/>
                  <v:stroke/>
                  <v:imagedata r:id="rId24" o:title=""/>
                  <o:lock v:ext="edit" aspectratio="t"/>
                  <w10:wrap type="none"/>
                  <w10:anchorlock/>
                </v:shape>
                <o:OLEObject Type="Embed" ProgID="Equation.AxMath" ShapeID="_x0000_i1036" DrawAspect="Content" ObjectID="_1468075735" r:id="rId35">
                  <o:LockedField>false</o:LockedField>
                </o:OLEObject>
              </w:object>
            </w:r>
          </w:p>
        </w:tc>
        <w:tc>
          <w:tcPr>
            <w:tcW w:w="6378" w:type="dxa"/>
            <w:vAlign w:val="center"/>
          </w:tcPr>
          <w:p w14:paraId="4098FE87">
            <w:pPr>
              <w:adjustRightInd w:val="0"/>
              <w:snapToGrid w:val="0"/>
              <w:ind w:firstLine="0" w:firstLineChars="0"/>
              <w:jc w:val="center"/>
            </w:pPr>
            <w:r>
              <w:t>Ohmic resistance</w:t>
            </w:r>
          </w:p>
        </w:tc>
      </w:tr>
      <w:tr w14:paraId="472DBB89">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09A576A8">
            <w:pPr>
              <w:adjustRightInd w:val="0"/>
              <w:snapToGrid w:val="0"/>
              <w:ind w:firstLine="0" w:firstLineChars="0"/>
              <w:jc w:val="center"/>
            </w:pPr>
            <w:r>
              <w:rPr>
                <w:position w:val="-10"/>
              </w:rPr>
              <w:object>
                <v:shape id="_x0000_i1037" o:spt="75" type="#_x0000_t75" style="height:16pt;width:24pt;" o:ole="t" filled="f" coordsize="21600,21600">
                  <v:path/>
                  <v:fill on="f" focussize="0,0"/>
                  <v:stroke/>
                  <v:imagedata r:id="rId37" o:title=""/>
                  <o:lock v:ext="edit" aspectratio="t"/>
                  <w10:wrap type="none"/>
                  <w10:anchorlock/>
                </v:shape>
                <o:OLEObject Type="Embed" ProgID="Equation.AxMath" ShapeID="_x0000_i1037" DrawAspect="Content" ObjectID="_1468075736" r:id="rId36">
                  <o:LockedField>false</o:LockedField>
                </o:OLEObject>
              </w:object>
            </w:r>
          </w:p>
        </w:tc>
        <w:tc>
          <w:tcPr>
            <w:tcW w:w="6378" w:type="dxa"/>
            <w:vAlign w:val="center"/>
          </w:tcPr>
          <w:p w14:paraId="2BC5BB5D">
            <w:pPr>
              <w:adjustRightInd w:val="0"/>
              <w:snapToGrid w:val="0"/>
              <w:ind w:firstLine="0" w:firstLineChars="0"/>
              <w:jc w:val="center"/>
            </w:pPr>
            <w:r>
              <w:t>instantaneous current</w:t>
            </w:r>
          </w:p>
        </w:tc>
      </w:tr>
      <w:tr w14:paraId="369452B0">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4691D2B8">
            <w:pPr>
              <w:adjustRightInd w:val="0"/>
              <w:snapToGrid w:val="0"/>
              <w:ind w:firstLine="0" w:firstLineChars="0"/>
              <w:jc w:val="center"/>
            </w:pPr>
            <w:r>
              <w:rPr>
                <w:rFonts w:hint="eastAsia"/>
              </w:rPr>
              <w:t>L</w:t>
            </w:r>
          </w:p>
        </w:tc>
        <w:tc>
          <w:tcPr>
            <w:tcW w:w="6378" w:type="dxa"/>
            <w:vAlign w:val="center"/>
          </w:tcPr>
          <w:p w14:paraId="634DB136">
            <w:pPr>
              <w:adjustRightInd w:val="0"/>
              <w:snapToGrid w:val="0"/>
              <w:ind w:firstLine="0" w:firstLineChars="0"/>
              <w:jc w:val="center"/>
            </w:pPr>
            <w:r>
              <w:t>Screen brightness</w:t>
            </w:r>
          </w:p>
        </w:tc>
      </w:tr>
      <w:tr w14:paraId="7B891EB6">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40AEFF81">
            <w:pPr>
              <w:adjustRightInd w:val="0"/>
              <w:snapToGrid w:val="0"/>
              <w:ind w:firstLine="0" w:firstLineChars="0"/>
              <w:jc w:val="center"/>
            </w:pPr>
            <w:r>
              <w:rPr>
                <w:rFonts w:hint="eastAsia"/>
              </w:rPr>
              <w:t>C</w:t>
            </w:r>
          </w:p>
        </w:tc>
        <w:tc>
          <w:tcPr>
            <w:tcW w:w="6378" w:type="dxa"/>
            <w:vAlign w:val="center"/>
          </w:tcPr>
          <w:p w14:paraId="148CE064">
            <w:pPr>
              <w:adjustRightInd w:val="0"/>
              <w:snapToGrid w:val="0"/>
              <w:ind w:firstLine="0" w:firstLineChars="0"/>
              <w:jc w:val="center"/>
              <w:rPr>
                <w:rFonts w:hint="eastAsia"/>
              </w:rPr>
            </w:pPr>
            <w:r>
              <w:rPr>
                <w:rFonts w:hint="eastAsia"/>
              </w:rPr>
              <w:t>CPU Load</w:t>
            </w:r>
          </w:p>
        </w:tc>
      </w:tr>
      <w:tr w14:paraId="0DB1ED30">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718D653A">
            <w:pPr>
              <w:adjustRightInd w:val="0"/>
              <w:snapToGrid w:val="0"/>
              <w:ind w:firstLine="0" w:firstLineChars="0"/>
              <w:jc w:val="center"/>
            </w:pPr>
            <w:r>
              <w:rPr>
                <w:rFonts w:hint="eastAsia"/>
              </w:rPr>
              <w:t>N</w:t>
            </w:r>
          </w:p>
        </w:tc>
        <w:tc>
          <w:tcPr>
            <w:tcW w:w="6378" w:type="dxa"/>
            <w:vAlign w:val="center"/>
          </w:tcPr>
          <w:p w14:paraId="58714D5E">
            <w:pPr>
              <w:adjustRightInd w:val="0"/>
              <w:snapToGrid w:val="0"/>
              <w:ind w:firstLine="0" w:firstLineChars="0"/>
              <w:jc w:val="center"/>
              <w:rPr>
                <w:rFonts w:hint="eastAsia"/>
              </w:rPr>
            </w:pPr>
            <w:r>
              <w:rPr>
                <w:rFonts w:hint="eastAsia"/>
              </w:rPr>
              <w:t>Net Activity</w:t>
            </w:r>
          </w:p>
        </w:tc>
      </w:tr>
      <w:tr w14:paraId="17D5BDEE">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56" w:type="dxa"/>
            <w:vAlign w:val="center"/>
          </w:tcPr>
          <w:p w14:paraId="7D0EBC73">
            <w:pPr>
              <w:adjustRightInd w:val="0"/>
              <w:snapToGrid w:val="0"/>
              <w:ind w:firstLine="0" w:firstLineChars="0"/>
              <w:jc w:val="center"/>
            </w:pPr>
            <w:r>
              <w:rPr>
                <w:position w:val="-10"/>
              </w:rPr>
              <w:object>
                <v:shape id="_x0000_i1038" o:spt="75" type="#_x0000_t75" style="height:16pt;width:26.65pt;" o:ole="t" filled="f" coordsize="21600,21600">
                  <v:path/>
                  <v:fill on="f" focussize="0,0"/>
                  <v:stroke/>
                  <v:imagedata r:id="rId39" o:title=""/>
                  <o:lock v:ext="edit" aspectratio="t"/>
                  <w10:wrap type="none"/>
                  <w10:anchorlock/>
                </v:shape>
                <o:OLEObject Type="Embed" ProgID="Equation.AxMath" ShapeID="_x0000_i1038" DrawAspect="Content" ObjectID="_1468075737" r:id="rId38">
                  <o:LockedField>false</o:LockedField>
                </o:OLEObject>
              </w:object>
            </w:r>
          </w:p>
        </w:tc>
        <w:tc>
          <w:tcPr>
            <w:tcW w:w="6378" w:type="dxa"/>
            <w:vAlign w:val="center"/>
          </w:tcPr>
          <w:p w14:paraId="39608D4D">
            <w:pPr>
              <w:adjustRightInd w:val="0"/>
              <w:snapToGrid w:val="0"/>
              <w:ind w:firstLine="0" w:firstLineChars="0"/>
              <w:jc w:val="center"/>
            </w:pPr>
            <w:r>
              <w:t>Constant Power Load Discrimination Formula</w:t>
            </w:r>
          </w:p>
        </w:tc>
      </w:tr>
    </w:tbl>
    <w:p w14:paraId="1CE81A4F">
      <w:pPr>
        <w:ind w:firstLine="480"/>
      </w:pPr>
    </w:p>
    <w:p w14:paraId="6A45562E">
      <w:pPr>
        <w:pStyle w:val="2"/>
      </w:pPr>
      <w:bookmarkStart w:id="16" w:name="_Toc17318"/>
      <w:r>
        <w:t>Model Formulation</w:t>
      </w:r>
      <w:r>
        <w:rPr>
          <w:rFonts w:hint="eastAsia"/>
        </w:rPr>
        <w:t xml:space="preserve">: </w:t>
      </w:r>
      <w:r>
        <w:t>The Multi-Physics Battery System</w:t>
      </w:r>
      <w:bookmarkEnd w:id="16"/>
    </w:p>
    <w:p w14:paraId="3721D325">
      <w:pPr>
        <w:ind w:firstLine="480"/>
      </w:pPr>
      <w:r>
        <w:t>This model focuses on continuous-time battery behaviour modelling based on</w:t>
      </w:r>
      <w:r>
        <w:rPr>
          <w:b/>
          <w:bCs/>
        </w:rPr>
        <w:t xml:space="preserve"> actual physical models</w:t>
      </w:r>
      <w:r>
        <w:t xml:space="preserve">, particularly the operational performance of batteries under multiple operating conditions. We have moved </w:t>
      </w:r>
      <w:r>
        <w:rPr>
          <w:b/>
          <w:bCs/>
        </w:rPr>
        <w:t>beyond</w:t>
      </w:r>
      <w:r>
        <w:t xml:space="preserve"> </w:t>
      </w:r>
      <w:r>
        <w:rPr>
          <w:b/>
          <w:bCs/>
        </w:rPr>
        <w:t>simple linear extrapolation methods</w:t>
      </w:r>
      <w:r>
        <w:t xml:space="preserve"> to develop a mechanism-driven continuous-time mathematical model. We treat smartphone battery systems as complex dynamic systems governed by the interaction of electrochemical state, thermodynamics, and random user loads, rather than as isolated energy containers.</w:t>
      </w:r>
    </w:p>
    <w:p w14:paraId="732B0D8A">
      <w:pPr>
        <w:ind w:firstLine="480"/>
      </w:pPr>
    </w:p>
    <w:p w14:paraId="6CAA971B">
      <w:pPr>
        <w:pStyle w:val="3"/>
        <w:snapToGrid w:val="0"/>
        <w:spacing w:after="163"/>
      </w:pPr>
      <w:bookmarkStart w:id="17" w:name="_Toc19251"/>
      <w:r>
        <w:t>The Internal Physics: ECM &amp; Thermodynamics</w:t>
      </w:r>
      <w:bookmarkEnd w:id="17"/>
    </w:p>
    <w:p w14:paraId="6264FC4F">
      <w:pPr>
        <w:ind w:firstLine="0" w:firstLineChars="0"/>
        <w:rPr>
          <w:b/>
          <w:bCs/>
        </w:rPr>
      </w:pPr>
      <w:r>
        <w:rPr>
          <w:rFonts w:hint="eastAsia"/>
          <w:b/>
          <w:bCs/>
        </w:rPr>
        <w:t xml:space="preserve">Submodel </w:t>
      </w:r>
      <w:r>
        <w:rPr>
          <w:b/>
          <w:bCs/>
          <w:position w:val="-11"/>
        </w:rPr>
        <w:object>
          <v:shape id="_x0000_i1039" o:spt="75" type="#_x0000_t75" style="height:18pt;width:8pt;" o:ole="t" filled="f" coordsize="21600,21600">
            <v:path/>
            <v:fill on="f" focussize="0,0"/>
            <v:stroke/>
            <v:imagedata r:id="rId41" o:title=""/>
            <o:lock v:ext="edit" aspectratio="t"/>
            <w10:wrap type="none"/>
            <w10:anchorlock/>
          </v:shape>
          <o:OLEObject Type="Embed" ProgID="Equation.AxMath" ShapeID="_x0000_i1039" DrawAspect="Content" ObjectID="_1468075738" r:id="rId40">
            <o:LockedField>false</o:LockedField>
          </o:OLEObject>
        </w:object>
      </w:r>
      <w:r>
        <w:rPr>
          <w:rFonts w:hint="eastAsia"/>
          <w:b/>
          <w:bCs/>
        </w:rPr>
        <w:t>:</w:t>
      </w:r>
      <w:r>
        <w:rPr>
          <w:rFonts w:ascii="Arial" w:hAnsi="Arial" w:cs="Arial"/>
          <w:b/>
          <w:bCs/>
          <w:color w:val="1A1C1E"/>
          <w:sz w:val="21"/>
          <w:shd w:val="clear" w:color="auto" w:fill="FFFFFF"/>
        </w:rPr>
        <w:t xml:space="preserve"> </w:t>
      </w:r>
      <w:r>
        <w:rPr>
          <w:b/>
          <w:bCs/>
        </w:rPr>
        <w:t>Charge Conservation and Equivalent Circuit Coupling Model</w:t>
      </w:r>
    </w:p>
    <w:p w14:paraId="572B290A">
      <w:pPr>
        <w:ind w:firstLine="480"/>
      </w:pPr>
      <w:r>
        <w:t>Although battery behaviour is influenced by power consumption, environmental factors, and the battery's own state, it adheres to the most fundamental battery model—</w:t>
      </w:r>
      <w:r>
        <w:rPr>
          <w:b/>
          <w:bCs/>
        </w:rPr>
        <w:t>the ampere-hour integration method</w:t>
      </w:r>
      <w:r>
        <w:rPr>
          <w:rFonts w:hint="eastAsia"/>
          <w:b/>
          <w:bCs/>
          <w:vertAlign w:val="superscript"/>
        </w:rPr>
        <w:t>[1]</w:t>
      </w:r>
      <w:r>
        <w:t xml:space="preserve"> (law of charge conservation). We regard the battery as a container capable of storing electrical charge. This model forms the </w:t>
      </w:r>
      <w:r>
        <w:rPr>
          <w:b/>
          <w:bCs/>
        </w:rPr>
        <w:t>foundation</w:t>
      </w:r>
      <w:r>
        <w:t xml:space="preserve"> for addressing battery behaviour issues, with its core differential equation being:</w:t>
      </w:r>
    </w:p>
    <w:p w14:paraId="5A90A1B9">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3E88E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79C7AFD5">
            <w:pPr>
              <w:tabs>
                <w:tab w:val="center" w:pos="4180"/>
                <w:tab w:val="right" w:pos="8360"/>
              </w:tabs>
              <w:adjustRightInd w:val="0"/>
              <w:snapToGrid w:val="0"/>
              <w:ind w:firstLine="0" w:firstLineChars="0"/>
              <w:jc w:val="center"/>
            </w:pPr>
            <w:r>
              <w:rPr>
                <w:position w:val="-27"/>
              </w:rPr>
              <w:object>
                <v:shape id="_x0000_i1040" o:spt="75" type="#_x0000_t75" style="height:32.65pt;width:176.65pt;" o:ole="t" filled="f" coordsize="21600,21600">
                  <v:path/>
                  <v:fill on="f" focussize="0,0"/>
                  <v:stroke/>
                  <v:imagedata r:id="rId43" o:title=""/>
                  <o:lock v:ext="edit" aspectratio="t"/>
                  <w10:wrap type="none"/>
                  <w10:anchorlock/>
                </v:shape>
                <o:OLEObject Type="Embed" ProgID="Equation.AxMath" ShapeID="_x0000_i1040" DrawAspect="Content" ObjectID="_1468075739" r:id="rId42">
                  <o:LockedField>false</o:LockedField>
                </o:OLEObject>
              </w:object>
            </w:r>
          </w:p>
        </w:tc>
        <w:tc>
          <w:tcPr>
            <w:tcW w:w="644" w:type="dxa"/>
            <w:vAlign w:val="center"/>
          </w:tcPr>
          <w:p w14:paraId="7CB172AA">
            <w:pPr>
              <w:adjustRightInd w:val="0"/>
              <w:snapToGrid w:val="0"/>
              <w:ind w:firstLine="0" w:firstLineChars="0"/>
              <w:jc w:val="center"/>
            </w:pPr>
            <w:r>
              <w:t>(</w:t>
            </w:r>
            <w:r>
              <w:fldChar w:fldCharType="begin"/>
            </w:r>
            <w:r>
              <w:instrText xml:space="preserve"> AUTONUM  \* Arabic </w:instrText>
            </w:r>
            <w:r>
              <w:fldChar w:fldCharType="end"/>
            </w:r>
            <w:r>
              <w:t>)</w:t>
            </w:r>
          </w:p>
        </w:tc>
      </w:tr>
    </w:tbl>
    <w:p w14:paraId="66196115">
      <w:pPr>
        <w:ind w:firstLine="0" w:firstLineChars="0"/>
      </w:pPr>
    </w:p>
    <w:p w14:paraId="156BAA0E">
      <w:pPr>
        <w:ind w:firstLine="0" w:firstLineChars="0"/>
      </w:pPr>
      <w:r>
        <w:rPr>
          <w:rFonts w:hint="eastAsia"/>
        </w:rPr>
        <w:t xml:space="preserve">where 3600 is </w:t>
      </w:r>
      <w:r>
        <w:t>Conversion factor for hours to seconds</w:t>
      </w:r>
      <w:r>
        <w:rPr>
          <w:rFonts w:hint="eastAsia"/>
        </w:rPr>
        <w:t>。</w:t>
      </w:r>
      <w:bookmarkStart w:id="18" w:name="_Hlk220765031"/>
      <w:r>
        <w:rPr>
          <w:position w:val="-9"/>
        </w:rPr>
        <w:object>
          <v:shape id="_x0000_i1041" o:spt="75" type="#_x0000_t75" style="height:15.35pt;width:24.65pt;" o:ole="t" filled="f" coordsize="21600,21600">
            <v:path/>
            <v:fill on="f" focussize="0,0"/>
            <v:stroke/>
            <v:imagedata r:id="rId45" o:title=""/>
            <o:lock v:ext="edit" aspectratio="t"/>
            <w10:wrap type="none"/>
            <w10:anchorlock/>
          </v:shape>
          <o:OLEObject Type="Embed" ProgID="Equation.AxMath" ShapeID="_x0000_i1041" DrawAspect="Content" ObjectID="_1468075740" r:id="rId44">
            <o:LockedField>false</o:LockedField>
          </o:OLEObject>
        </w:object>
      </w:r>
      <w:bookmarkEnd w:id="18"/>
      <w:r>
        <w:t xml:space="preserve"> </w:t>
      </w:r>
      <w:r>
        <w:rPr>
          <w:rFonts w:hint="eastAsia"/>
        </w:rPr>
        <w:t xml:space="preserve">represents </w:t>
      </w:r>
      <w:r>
        <w:t>The battery capacity at a specific temperature and state of health.</w:t>
      </w:r>
    </w:p>
    <w:p w14:paraId="619866B9">
      <w:pPr>
        <w:snapToGrid w:val="0"/>
        <w:ind w:firstLine="480"/>
      </w:pPr>
      <w:r>
        <w:rPr>
          <w:position w:val="-9"/>
        </w:rPr>
        <w:object>
          <v:shape id="_x0000_i1042" o:spt="75" type="#_x0000_t75" style="height:15.35pt;width:24.65pt;" o:ole="t" filled="f" coordsize="21600,21600">
            <v:path/>
            <v:fill on="f" focussize="0,0"/>
            <v:stroke/>
            <v:imagedata r:id="rId45" o:title=""/>
            <o:lock v:ext="edit" aspectratio="t"/>
            <w10:wrap type="none"/>
            <w10:anchorlock/>
          </v:shape>
          <o:OLEObject Type="Embed" ProgID="Equation.AxMath" ShapeID="_x0000_i1042" DrawAspect="Content" ObjectID="_1468075741" r:id="rId46">
            <o:LockedField>false</o:LockedField>
          </o:OLEObject>
        </w:object>
      </w:r>
      <w:r>
        <w:t xml:space="preserve"> </w:t>
      </w:r>
      <w:r>
        <w:rPr>
          <w:rFonts w:hint="eastAsia"/>
        </w:rPr>
        <w:t>a</w:t>
      </w:r>
      <w:r>
        <w:t>s the effective capacity of the battery, Not only is it affected by the State of Health (SOH) of the battery, but according to the paper, it is also influenced by temperature correction factors</w:t>
      </w:r>
      <w:r>
        <w:rPr>
          <w:rFonts w:hint="eastAsia"/>
        </w:rPr>
        <w:t xml:space="preserve"> </w:t>
      </w:r>
      <w:r>
        <w:rPr>
          <w:position w:val="-9"/>
        </w:rPr>
        <w:object>
          <v:shape id="_x0000_i1043" o:spt="75" type="#_x0000_t75" style="height:15.35pt;width:28.65pt;" o:ole="t" filled="f" coordsize="21600,21600">
            <v:path/>
            <v:fill on="f" focussize="0,0"/>
            <v:stroke/>
            <v:imagedata r:id="rId48" o:title=""/>
            <o:lock v:ext="edit" aspectratio="t"/>
            <w10:wrap type="none"/>
            <w10:anchorlock/>
          </v:shape>
          <o:OLEObject Type="Embed" ProgID="Equation.AxMath" ShapeID="_x0000_i1043" DrawAspect="Content" ObjectID="_1468075742" r:id="rId47">
            <o:LockedField>false</o:LockedField>
          </o:OLEObject>
        </w:object>
      </w:r>
      <w:r>
        <w:rPr>
          <w:rFonts w:hint="eastAsia"/>
        </w:rPr>
        <w:t>.</w:t>
      </w:r>
      <w:r>
        <w:t>For instance, when temperatures are extremely low, the viscosity of the electrolyte increases and lithium-ion activity decreases, leading to a reduction in available capacity.</w:t>
      </w:r>
    </w:p>
    <w:p w14:paraId="0ED34FBA">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00E58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44E8C285">
            <w:pPr>
              <w:tabs>
                <w:tab w:val="center" w:pos="4180"/>
                <w:tab w:val="right" w:pos="8360"/>
              </w:tabs>
              <w:adjustRightInd w:val="0"/>
              <w:snapToGrid w:val="0"/>
              <w:ind w:firstLine="0" w:firstLineChars="0"/>
              <w:jc w:val="center"/>
            </w:pPr>
            <w:r>
              <w:rPr>
                <w:position w:val="-10"/>
              </w:rPr>
              <w:object>
                <v:shape id="_x0000_i1044" o:spt="75" type="#_x0000_t75" style="height:16.65pt;width:146pt;" o:ole="t" filled="f" coordsize="21600,21600">
                  <v:path/>
                  <v:fill on="f" focussize="0,0"/>
                  <v:stroke/>
                  <v:imagedata r:id="rId50" o:title=""/>
                  <o:lock v:ext="edit" aspectratio="t"/>
                  <w10:wrap type="none"/>
                  <w10:anchorlock/>
                </v:shape>
                <o:OLEObject Type="Embed" ProgID="Equation.AxMath" ShapeID="_x0000_i1044" DrawAspect="Content" ObjectID="_1468075743" r:id="rId49">
                  <o:LockedField>false</o:LockedField>
                </o:OLEObject>
              </w:object>
            </w:r>
          </w:p>
        </w:tc>
        <w:tc>
          <w:tcPr>
            <w:tcW w:w="644" w:type="dxa"/>
            <w:vAlign w:val="center"/>
          </w:tcPr>
          <w:p w14:paraId="307B2FCD">
            <w:pPr>
              <w:adjustRightInd w:val="0"/>
              <w:snapToGrid w:val="0"/>
              <w:ind w:firstLine="0" w:firstLineChars="0"/>
              <w:jc w:val="center"/>
            </w:pPr>
            <w:r>
              <w:t>(</w:t>
            </w:r>
            <w:r>
              <w:fldChar w:fldCharType="begin"/>
            </w:r>
            <w:r>
              <w:instrText xml:space="preserve"> AUTONUM  \* Arabic </w:instrText>
            </w:r>
            <w:r>
              <w:fldChar w:fldCharType="end"/>
            </w:r>
            <w:r>
              <w:t>)</w:t>
            </w:r>
          </w:p>
        </w:tc>
      </w:tr>
    </w:tbl>
    <w:p w14:paraId="7A563988">
      <w:pPr>
        <w:ind w:firstLine="480"/>
      </w:pPr>
    </w:p>
    <w:p w14:paraId="3B098832">
      <w:pPr>
        <w:snapToGrid w:val="0"/>
        <w:ind w:firstLine="480"/>
      </w:pPr>
      <w:r>
        <w:t xml:space="preserve">This model provides the foundation for establishing a continuous-time model, defining the variation of electrical quantities. However, for it to function, we must also obtain the instantaneous current in the equations. </w:t>
      </w:r>
      <w:r>
        <w:rPr>
          <w:position w:val="-10"/>
        </w:rPr>
        <w:object>
          <v:shape id="_x0000_i1045" o:spt="75" type="#_x0000_t75" style="height:16pt;width:24pt;" o:ole="t" filled="f" coordsize="21600,21600">
            <v:path/>
            <v:fill on="f" focussize="0,0"/>
            <v:stroke/>
            <v:imagedata r:id="rId52" o:title=""/>
            <o:lock v:ext="edit" aspectratio="t"/>
            <w10:wrap type="none"/>
            <w10:anchorlock/>
          </v:shape>
          <o:OLEObject Type="Embed" ProgID="Equation.AxMath" ShapeID="_x0000_i1045" DrawAspect="Content" ObjectID="_1468075744" r:id="rId51">
            <o:LockedField>false</o:LockedField>
          </o:OLEObject>
        </w:object>
      </w:r>
      <w:r>
        <w:rPr>
          <w:rFonts w:hint="eastAsia"/>
        </w:rPr>
        <w:t xml:space="preserve"> </w:t>
      </w:r>
      <w:r>
        <w:t>In actual mobile phones, the current also depends on factors such as load power and the battery's actual voltage, hence we need to establish Models 2 and 3.</w:t>
      </w:r>
    </w:p>
    <w:p w14:paraId="3C0A4520">
      <w:pPr>
        <w:snapToGrid w:val="0"/>
        <w:ind w:firstLine="480"/>
      </w:pPr>
    </w:p>
    <w:p w14:paraId="4232A7DD">
      <w:pPr>
        <w:snapToGrid w:val="0"/>
        <w:ind w:firstLine="482"/>
      </w:pPr>
      <w:r>
        <w:rPr>
          <w:b/>
          <w:bCs/>
          <w:i/>
          <w:iCs/>
        </w:rPr>
        <w:t>Thevenin equivalent circuit model.</w:t>
      </w:r>
      <w:r>
        <w:rPr>
          <w:rFonts w:hint="eastAsia"/>
          <w:b/>
          <w:bCs/>
          <w:i/>
          <w:iCs/>
        </w:rPr>
        <w:t xml:space="preserve"> </w:t>
      </w:r>
      <w:r>
        <w:t xml:space="preserve">This model is responsible for calculating the terminal voltage of the battery. </w:t>
      </w:r>
      <w:r>
        <w:rPr>
          <w:position w:val="-9"/>
        </w:rPr>
        <w:object>
          <v:shape id="_x0000_i1046" o:spt="75" type="#_x0000_t75" style="height:15.35pt;width:27.35pt;" o:ole="t" filled="f" coordsize="21600,21600">
            <v:path/>
            <v:fill on="f" focussize="0,0"/>
            <v:stroke/>
            <v:imagedata r:id="rId54" o:title=""/>
            <o:lock v:ext="edit" aspectratio="t"/>
            <w10:wrap type="none"/>
            <w10:anchorlock/>
          </v:shape>
          <o:OLEObject Type="Embed" ProgID="Equation.AxMath" ShapeID="_x0000_i1046" DrawAspect="Content" ObjectID="_1468075745" r:id="rId53">
            <o:LockedField>false</o:LockedField>
          </o:OLEObject>
        </w:object>
      </w:r>
      <w:r>
        <w:t xml:space="preserve"> </w:t>
      </w:r>
      <w:r>
        <w:rPr>
          <w:rFonts w:hint="eastAsia"/>
        </w:rPr>
        <w:t xml:space="preserve">and </w:t>
      </w:r>
      <w:r>
        <w:t xml:space="preserve">Battery temperature </w:t>
      </w:r>
      <w:r>
        <w:rPr>
          <w:rFonts w:hint="eastAsia"/>
        </w:rPr>
        <w:t>. e</w:t>
      </w:r>
      <w:r>
        <w:t>stablish a link between the battery's state of charge (SOC) and instantaneous current</w:t>
      </w:r>
      <w:r>
        <w:rPr>
          <w:rFonts w:hint="eastAsia"/>
        </w:rPr>
        <w:t xml:space="preserve"> </w:t>
      </w:r>
      <w:r>
        <w:rPr>
          <w:position w:val="-10"/>
        </w:rPr>
        <w:object>
          <v:shape id="_x0000_i1047" o:spt="75" type="#_x0000_t75" style="height:16pt;width:24pt;" o:ole="t" filled="f" coordsize="21600,21600">
            <v:path/>
            <v:fill on="f" focussize="0,0"/>
            <v:stroke/>
            <v:imagedata r:id="rId52" o:title=""/>
            <o:lock v:ext="edit" aspectratio="t"/>
            <w10:wrap type="none"/>
            <w10:anchorlock/>
          </v:shape>
          <o:OLEObject Type="Embed" ProgID="Equation.AxMath" ShapeID="_x0000_i1047" DrawAspect="Content" ObjectID="_1468075746" r:id="rId55">
            <o:LockedField>false</o:LockedField>
          </o:OLEObject>
        </w:object>
      </w:r>
      <w:r>
        <w:rPr>
          <w:rFonts w:hint="eastAsia"/>
        </w:rPr>
        <w:t>.</w:t>
      </w:r>
    </w:p>
    <w:p w14:paraId="6977DFAB">
      <w:pPr>
        <w:ind w:firstLine="480"/>
      </w:pPr>
      <w:r>
        <w:t>The terminal voltage equation is:</w:t>
      </w:r>
    </w:p>
    <w:p w14:paraId="3ADD09B2">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1EB42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1A88C770">
            <w:pPr>
              <w:tabs>
                <w:tab w:val="center" w:pos="4180"/>
                <w:tab w:val="right" w:pos="8360"/>
              </w:tabs>
              <w:adjustRightInd w:val="0"/>
              <w:snapToGrid w:val="0"/>
              <w:ind w:firstLine="0" w:firstLineChars="0"/>
              <w:jc w:val="center"/>
            </w:pPr>
            <w:r>
              <w:rPr>
                <w:position w:val="-10"/>
              </w:rPr>
              <w:object>
                <v:shape id="_x0000_i1048" o:spt="75" type="#_x0000_t75" style="height:16.65pt;width:230.65pt;" o:ole="t" filled="f" coordsize="21600,21600">
                  <v:path/>
                  <v:fill on="f" focussize="0,0"/>
                  <v:stroke/>
                  <v:imagedata r:id="rId57" o:title=""/>
                  <o:lock v:ext="edit" aspectratio="t"/>
                  <w10:wrap type="none"/>
                  <w10:anchorlock/>
                </v:shape>
                <o:OLEObject Type="Embed" ProgID="Equation.AxMath" ShapeID="_x0000_i1048" DrawAspect="Content" ObjectID="_1468075747" r:id="rId56">
                  <o:LockedField>false</o:LockedField>
                </o:OLEObject>
              </w:object>
            </w:r>
          </w:p>
        </w:tc>
        <w:tc>
          <w:tcPr>
            <w:tcW w:w="644" w:type="dxa"/>
            <w:vAlign w:val="center"/>
          </w:tcPr>
          <w:p w14:paraId="0C57C884">
            <w:pPr>
              <w:adjustRightInd w:val="0"/>
              <w:snapToGrid w:val="0"/>
              <w:ind w:firstLine="0" w:firstLineChars="0"/>
              <w:jc w:val="center"/>
            </w:pPr>
            <w:r>
              <w:t>(</w:t>
            </w:r>
            <w:r>
              <w:fldChar w:fldCharType="begin"/>
            </w:r>
            <w:r>
              <w:instrText xml:space="preserve"> AUTONUM  \* Arabic </w:instrText>
            </w:r>
            <w:r>
              <w:fldChar w:fldCharType="end"/>
            </w:r>
            <w:r>
              <w:t>)</w:t>
            </w:r>
          </w:p>
        </w:tc>
      </w:tr>
    </w:tbl>
    <w:p w14:paraId="32E8401B">
      <w:pPr>
        <w:snapToGrid w:val="0"/>
        <w:ind w:firstLine="0" w:firstLineChars="0"/>
      </w:pPr>
      <w:bookmarkStart w:id="19" w:name="_Toc58505781"/>
    </w:p>
    <w:p w14:paraId="21994636">
      <w:pPr>
        <w:snapToGrid w:val="0"/>
        <w:ind w:firstLine="0" w:firstLineChars="0"/>
        <w:rPr>
          <w:b/>
          <w:bCs/>
        </w:rPr>
      </w:pPr>
      <w:r>
        <w:rPr>
          <w:rFonts w:hint="eastAsia"/>
        </w:rPr>
        <w:t xml:space="preserve">where </w:t>
      </w:r>
      <w:r>
        <w:rPr>
          <w:position w:val="-10"/>
        </w:rPr>
        <w:object>
          <v:shape id="_x0000_i1049" o:spt="75" type="#_x0000_t75" style="height:16pt;width:28.65pt;" o:ole="t" filled="f" coordsize="21600,21600">
            <v:path/>
            <v:fill on="f" focussize="0,0"/>
            <v:stroke/>
            <v:imagedata r:id="rId59" o:title=""/>
            <o:lock v:ext="edit" aspectratio="t"/>
            <w10:wrap type="none"/>
            <w10:anchorlock/>
          </v:shape>
          <o:OLEObject Type="Embed" ProgID="Equation.AxMath" ShapeID="_x0000_i1049" DrawAspect="Content" ObjectID="_1468075748" r:id="rId58">
            <o:LockedField>false</o:LockedField>
          </o:OLEObject>
        </w:object>
      </w:r>
      <w:r>
        <w:rPr>
          <w:rFonts w:hint="eastAsia"/>
        </w:rPr>
        <w:t xml:space="preserve"> represents </w:t>
      </w:r>
      <w:r>
        <w:t>Polarisation voltage simulation</w:t>
      </w:r>
      <w:r>
        <w:rPr>
          <w:rFonts w:hint="eastAsia"/>
        </w:rPr>
        <w:t xml:space="preserve">, </w:t>
      </w:r>
      <w:r>
        <w:rPr>
          <w:position w:val="-9"/>
        </w:rPr>
        <w:object>
          <v:shape id="_x0000_i1050" o:spt="75" type="#_x0000_t75" style="height:15.35pt;width:16pt;" o:ole="t" filled="f" coordsize="21600,21600">
            <v:path/>
            <v:fill on="f" focussize="0,0"/>
            <v:stroke/>
            <v:imagedata r:id="rId24" o:title=""/>
            <o:lock v:ext="edit" aspectratio="t"/>
            <w10:wrap type="none"/>
            <w10:anchorlock/>
          </v:shape>
          <o:OLEObject Type="Embed" ProgID="Equation.AxMath" ShapeID="_x0000_i1050" DrawAspect="Content" ObjectID="_1468075749" r:id="rId60">
            <o:LockedField>false</o:LockedField>
          </o:OLEObject>
        </w:object>
      </w:r>
      <w:r>
        <w:rPr>
          <w:rFonts w:hint="eastAsia"/>
        </w:rPr>
        <w:t xml:space="preserve"> is the </w:t>
      </w:r>
      <w:r>
        <w:t>Ohmic resistance</w:t>
      </w:r>
      <w:r>
        <w:rPr>
          <w:rFonts w:hint="eastAsia"/>
        </w:rPr>
        <w:t>.</w:t>
      </w:r>
    </w:p>
    <w:p w14:paraId="1082103A">
      <w:pPr>
        <w:snapToGrid w:val="0"/>
        <w:ind w:firstLine="0" w:firstLineChars="0"/>
        <w:rPr>
          <w:b/>
          <w:bCs/>
        </w:rPr>
      </w:pPr>
      <w:r>
        <w:rPr>
          <w:b/>
          <w:bCs/>
        </w:rPr>
        <w:t>Improved Shepherd Model and Polarisation Voltage Model</w:t>
      </w:r>
      <w:r>
        <w:rPr>
          <w:rFonts w:hint="eastAsia"/>
          <w:b/>
          <w:bCs/>
        </w:rPr>
        <w:t>:</w:t>
      </w:r>
    </w:p>
    <w:p w14:paraId="4FA5D2C6">
      <w:pPr>
        <w:snapToGrid w:val="0"/>
        <w:ind w:firstLine="480"/>
      </w:pPr>
      <w:r>
        <w:t>To accurately describe the static terminal voltage characteristics of batteries, this paper employs an improved Shepherd model to establish the nonlinear relationship between open-circuit voltage and state of charge (SOC), thereby avoiding mathematical singularities at zero SOC. The concept of effective SOC is first introduced to constrain the lower bound of the SOC domain, defined as follows:</w:t>
      </w:r>
    </w:p>
    <w:p w14:paraId="4E3A0398">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7614D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2793CD00">
            <w:pPr>
              <w:tabs>
                <w:tab w:val="center" w:pos="4180"/>
                <w:tab w:val="right" w:pos="8360"/>
              </w:tabs>
              <w:adjustRightInd w:val="0"/>
              <w:snapToGrid w:val="0"/>
              <w:ind w:firstLine="0" w:firstLineChars="0"/>
              <w:jc w:val="center"/>
            </w:pPr>
            <w:r>
              <w:rPr>
                <w:position w:val="-10"/>
              </w:rPr>
              <w:object>
                <v:shape id="_x0000_i1051" o:spt="75" type="#_x0000_t75" style="height:16pt;width:130.65pt;" o:ole="t" filled="f" coordsize="21600,21600">
                  <v:path/>
                  <v:fill on="f" focussize="0,0"/>
                  <v:stroke/>
                  <v:imagedata r:id="rId62" o:title=""/>
                  <o:lock v:ext="edit" aspectratio="t"/>
                  <w10:wrap type="none"/>
                  <w10:anchorlock/>
                </v:shape>
                <o:OLEObject Type="Embed" ProgID="Equation.AxMath" ShapeID="_x0000_i1051" DrawAspect="Content" ObjectID="_1468075750" r:id="rId61">
                  <o:LockedField>false</o:LockedField>
                </o:OLEObject>
              </w:object>
            </w:r>
          </w:p>
        </w:tc>
        <w:tc>
          <w:tcPr>
            <w:tcW w:w="644" w:type="dxa"/>
            <w:vAlign w:val="center"/>
          </w:tcPr>
          <w:p w14:paraId="6C2C2F05">
            <w:pPr>
              <w:adjustRightInd w:val="0"/>
              <w:snapToGrid w:val="0"/>
              <w:ind w:firstLine="0" w:firstLineChars="0"/>
              <w:jc w:val="center"/>
            </w:pPr>
            <w:r>
              <w:t>(</w:t>
            </w:r>
            <w:r>
              <w:fldChar w:fldCharType="begin"/>
            </w:r>
            <w:r>
              <w:instrText xml:space="preserve"> AUTONUM  \* Arabic </w:instrText>
            </w:r>
            <w:r>
              <w:fldChar w:fldCharType="end"/>
            </w:r>
            <w:r>
              <w:t>)</w:t>
            </w:r>
          </w:p>
        </w:tc>
      </w:tr>
    </w:tbl>
    <w:p w14:paraId="1377202A">
      <w:pPr>
        <w:snapToGrid w:val="0"/>
        <w:ind w:firstLine="0" w:firstLineChars="0"/>
      </w:pPr>
    </w:p>
    <w:p w14:paraId="17B99AF3">
      <w:pPr>
        <w:snapToGrid w:val="0"/>
        <w:ind w:firstLine="0" w:firstLineChars="0"/>
      </w:pPr>
      <w:r>
        <w:rPr>
          <w:rFonts w:hint="eastAsia"/>
        </w:rPr>
        <w:t xml:space="preserve">where </w:t>
      </w:r>
      <w:r>
        <w:rPr>
          <w:position w:val="-9"/>
        </w:rPr>
        <w:object>
          <v:shape id="_x0000_i1052" o:spt="75" type="#_x0000_t75" style="height:15.35pt;width:61.35pt;" o:ole="t" filled="f" coordsize="21600,21600">
            <v:path/>
            <v:fill on="f" focussize="0,0"/>
            <v:stroke/>
            <v:imagedata r:id="rId64" o:title=""/>
            <o:lock v:ext="edit" aspectratio="t"/>
            <w10:wrap type="none"/>
            <w10:anchorlock/>
          </v:shape>
          <o:OLEObject Type="Embed" ProgID="Equation.AxMath" ShapeID="_x0000_i1052" DrawAspect="Content" ObjectID="_1468075751" r:id="rId63">
            <o:LockedField>false</o:LockedField>
          </o:OLEObject>
        </w:object>
      </w:r>
      <w:r>
        <w:rPr>
          <w:rFonts w:hint="eastAsia"/>
        </w:rPr>
        <w:t xml:space="preserve"> </w:t>
      </w:r>
      <w:r>
        <w:t>as the lower threshold</w:t>
      </w:r>
    </w:p>
    <w:p w14:paraId="467A10F4">
      <w:pPr>
        <w:ind w:firstLine="480"/>
      </w:pPr>
    </w:p>
    <w:p w14:paraId="53E92EB7">
      <w:pPr>
        <w:ind w:firstLine="480"/>
      </w:pPr>
      <w:r>
        <w:t>Based on the aforementioned amendments, the revised OCV analytical expression is as follows:</w:t>
      </w:r>
    </w:p>
    <w:p w14:paraId="7A69D00E">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0FF4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8" w:hRule="atLeast"/>
        </w:trPr>
        <w:tc>
          <w:tcPr>
            <w:tcW w:w="8580" w:type="dxa"/>
            <w:vAlign w:val="center"/>
          </w:tcPr>
          <w:p w14:paraId="33B206A9">
            <w:pPr>
              <w:tabs>
                <w:tab w:val="center" w:pos="4180"/>
                <w:tab w:val="right" w:pos="8360"/>
              </w:tabs>
              <w:adjustRightInd w:val="0"/>
              <w:snapToGrid w:val="0"/>
              <w:ind w:firstLine="0" w:firstLineChars="0"/>
            </w:pPr>
            <w:r>
              <w:tab/>
            </w:r>
            <w:r>
              <w:rPr>
                <w:position w:val="-25"/>
              </w:rPr>
              <w:object>
                <v:shape id="_x0000_i1053" o:spt="75" type="#_x0000_t75" style="height:31.35pt;width:218pt;" o:ole="t" filled="f" coordsize="21600,21600">
                  <v:path/>
                  <v:fill on="f" focussize="0,0"/>
                  <v:stroke/>
                  <v:imagedata r:id="rId66" o:title=""/>
                  <o:lock v:ext="edit" aspectratio="t"/>
                  <w10:wrap type="none"/>
                  <w10:anchorlock/>
                </v:shape>
                <o:OLEObject Type="Embed" ProgID="Equation.AxMath" ShapeID="_x0000_i1053" DrawAspect="Content" ObjectID="_1468075752" r:id="rId65">
                  <o:LockedField>false</o:LockedField>
                </o:OLEObject>
              </w:object>
            </w:r>
          </w:p>
        </w:tc>
        <w:tc>
          <w:tcPr>
            <w:tcW w:w="644" w:type="dxa"/>
            <w:vAlign w:val="center"/>
          </w:tcPr>
          <w:p w14:paraId="4FB6559D">
            <w:pPr>
              <w:adjustRightInd w:val="0"/>
              <w:snapToGrid w:val="0"/>
              <w:ind w:firstLine="0" w:firstLineChars="0"/>
              <w:jc w:val="center"/>
            </w:pPr>
            <w:r>
              <w:t>(</w:t>
            </w:r>
            <w:r>
              <w:fldChar w:fldCharType="begin"/>
            </w:r>
            <w:r>
              <w:instrText xml:space="preserve"> AUTONUM  \* Arabic </w:instrText>
            </w:r>
            <w:r>
              <w:fldChar w:fldCharType="end"/>
            </w:r>
            <w:r>
              <w:t>)</w:t>
            </w:r>
          </w:p>
        </w:tc>
      </w:tr>
    </w:tbl>
    <w:p w14:paraId="76061818">
      <w:pPr>
        <w:ind w:firstLine="0" w:firstLineChars="0"/>
      </w:pPr>
    </w:p>
    <w:p w14:paraId="7C80752E">
      <w:pPr>
        <w:ind w:firstLine="0" w:firstLineChars="0"/>
      </w:pPr>
      <w:r>
        <w:rPr>
          <w:rFonts w:hint="eastAsia"/>
        </w:rPr>
        <w:t xml:space="preserve">where </w:t>
      </w:r>
      <w:r>
        <w:rPr>
          <w:position w:val="-9"/>
        </w:rPr>
        <w:object>
          <v:shape id="_x0000_i1054" o:spt="75" type="#_x0000_t75" style="height:15.35pt;width:16pt;" o:ole="t" filled="f" coordsize="21600,21600">
            <v:path/>
            <v:fill on="f" focussize="0,0"/>
            <v:stroke/>
            <v:imagedata r:id="rId68" o:title=""/>
            <o:lock v:ext="edit" aspectratio="t"/>
            <w10:wrap type="none"/>
            <w10:anchorlock/>
          </v:shape>
          <o:OLEObject Type="Embed" ProgID="Equation.AxMath" ShapeID="_x0000_i1054" DrawAspect="Content" ObjectID="_1468075753" r:id="rId67">
            <o:LockedField>false</o:LockedField>
          </o:OLEObject>
        </w:object>
      </w:r>
      <w:r>
        <w:rPr>
          <w:rFonts w:hint="eastAsia"/>
        </w:rPr>
        <w:t xml:space="preserve"> represents </w:t>
      </w:r>
      <w:r>
        <w:t>Standard cell potential</w:t>
      </w:r>
      <w:r>
        <w:rPr>
          <w:rFonts w:hint="eastAsia"/>
        </w:rPr>
        <w:t xml:space="preserve">, K is the </w:t>
      </w:r>
      <w:r>
        <w:t>the polarisation coefficient</w:t>
      </w:r>
      <w:r>
        <w:rPr>
          <w:rFonts w:hint="eastAsia"/>
        </w:rPr>
        <w:t xml:space="preserve">, A and B represent </w:t>
      </w:r>
      <w:r>
        <w:t>Parameters describing the phase of rapid voltage decline when the battery is fully charged</w:t>
      </w:r>
      <w:r>
        <w:rPr>
          <w:rFonts w:hint="eastAsia"/>
        </w:rPr>
        <w:t>.</w:t>
      </w:r>
      <w:r>
        <w:t xml:space="preserve"> </w:t>
      </w:r>
    </w:p>
    <w:p w14:paraId="474AD615">
      <w:pPr>
        <w:snapToGrid w:val="0"/>
        <w:ind w:firstLine="480"/>
      </w:pPr>
      <w:r>
        <w:t>However, batteries exhibit significant non-linear behaviour during charging and discharging. Specifically, when the load current undergoes a step change, the terminal voltage does not respond instantaneously but instead demonstrates a delayed</w:t>
      </w:r>
      <w:r>
        <w:rPr>
          <w:b/>
          <w:bCs/>
        </w:rPr>
        <w:t xml:space="preserve"> relaxation phenomenon.</w:t>
      </w:r>
      <w:r>
        <w:t xml:space="preserve"> This phenomenon is primarily caused by electrochemical polarisation and concentration polarisation processes within the battery. To simulate this delayed phenomenon, a first-order RC network was introduced. </w:t>
      </w:r>
      <w:r>
        <w:rPr>
          <w:position w:val="-10"/>
        </w:rPr>
        <w:object>
          <v:shape id="_x0000_i1055" o:spt="75" type="#_x0000_t75" style="height:16pt;width:28.65pt;" o:ole="t" filled="f" coordsize="21600,21600">
            <v:path/>
            <v:fill on="f" focussize="0,0"/>
            <v:stroke/>
            <v:imagedata r:id="rId59" o:title=""/>
            <o:lock v:ext="edit" aspectratio="t"/>
            <w10:wrap type="none"/>
            <w10:anchorlock/>
          </v:shape>
          <o:OLEObject Type="Embed" ProgID="Equation.AxMath" ShapeID="_x0000_i1055" DrawAspect="Content" ObjectID="_1468075754" r:id="rId69">
            <o:LockedField>false</o:LockedField>
          </o:OLEObject>
        </w:object>
      </w:r>
      <w:r>
        <w:t>’</w:t>
      </w:r>
      <w:r>
        <w:rPr>
          <w:rFonts w:hint="eastAsia"/>
        </w:rPr>
        <w:t xml:space="preserve">s </w:t>
      </w:r>
      <w:r>
        <w:t>expression is:</w:t>
      </w:r>
    </w:p>
    <w:p w14:paraId="1D03C171">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4BFA4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3420CF6A">
            <w:pPr>
              <w:tabs>
                <w:tab w:val="center" w:pos="4180"/>
                <w:tab w:val="right" w:pos="8360"/>
              </w:tabs>
              <w:adjustRightInd w:val="0"/>
              <w:snapToGrid w:val="0"/>
              <w:ind w:firstLine="0" w:firstLineChars="0"/>
            </w:pPr>
            <w:r>
              <w:tab/>
            </w:r>
            <w:r>
              <w:rPr>
                <w:position w:val="-24"/>
              </w:rPr>
              <w:object>
                <v:shape id="_x0000_i1056" o:spt="75" type="#_x0000_t75" style="height:31.35pt;width:125.35pt;" o:ole="t" filled="f" coordsize="21600,21600">
                  <v:path/>
                  <v:fill on="f" focussize="0,0"/>
                  <v:stroke/>
                  <v:imagedata r:id="rId71" o:title=""/>
                  <o:lock v:ext="edit" aspectratio="t"/>
                  <w10:wrap type="none"/>
                  <w10:anchorlock/>
                </v:shape>
                <o:OLEObject Type="Embed" ProgID="Equation.AxMath" ShapeID="_x0000_i1056" DrawAspect="Content" ObjectID="_1468075755" r:id="rId70">
                  <o:LockedField>false</o:LockedField>
                </o:OLEObject>
              </w:object>
            </w:r>
          </w:p>
        </w:tc>
        <w:tc>
          <w:tcPr>
            <w:tcW w:w="644" w:type="dxa"/>
            <w:vAlign w:val="center"/>
          </w:tcPr>
          <w:p w14:paraId="69C1D44C">
            <w:pPr>
              <w:adjustRightInd w:val="0"/>
              <w:snapToGrid w:val="0"/>
              <w:ind w:firstLine="0" w:firstLineChars="0"/>
              <w:jc w:val="center"/>
            </w:pPr>
            <w:r>
              <w:t>(</w:t>
            </w:r>
            <w:r>
              <w:fldChar w:fldCharType="begin"/>
            </w:r>
            <w:r>
              <w:instrText xml:space="preserve"> AUTONUM  \* Arabic </w:instrText>
            </w:r>
            <w:r>
              <w:fldChar w:fldCharType="end"/>
            </w:r>
            <w:r>
              <w:t>)</w:t>
            </w:r>
          </w:p>
        </w:tc>
      </w:tr>
    </w:tbl>
    <w:p w14:paraId="5BE9DC39">
      <w:pPr>
        <w:snapToGrid w:val="0"/>
        <w:ind w:firstLine="0" w:firstLineChars="0"/>
      </w:pPr>
    </w:p>
    <w:p w14:paraId="5B0DF833">
      <w:pPr>
        <w:snapToGrid w:val="0"/>
        <w:ind w:firstLine="0" w:firstLineChars="0"/>
      </w:pPr>
      <w:r>
        <w:t>W</w:t>
      </w:r>
      <w:r>
        <w:rPr>
          <w:rFonts w:hint="eastAsia"/>
        </w:rPr>
        <w:t xml:space="preserve">here </w:t>
      </w:r>
      <w:r>
        <w:rPr>
          <w:position w:val="-9"/>
        </w:rPr>
        <w:object>
          <v:shape id="_x0000_i1057" o:spt="75" type="#_x0000_t75" style="height:15.35pt;width:14.65pt;" o:ole="t" filled="f" coordsize="21600,21600">
            <v:path/>
            <v:fill on="f" focussize="0,0"/>
            <v:stroke/>
            <v:imagedata r:id="rId73" o:title=""/>
            <o:lock v:ext="edit" aspectratio="t"/>
            <w10:wrap type="none"/>
            <w10:anchorlock/>
          </v:shape>
          <o:OLEObject Type="Embed" ProgID="Equation.AxMath" ShapeID="_x0000_i1057" DrawAspect="Content" ObjectID="_1468075756" r:id="rId72">
            <o:LockedField>false</o:LockedField>
          </o:OLEObject>
        </w:object>
      </w:r>
      <w:r>
        <w:rPr>
          <w:rFonts w:hint="eastAsia"/>
        </w:rPr>
        <w:t xml:space="preserve"> represents p</w:t>
      </w:r>
      <w:r>
        <w:t>olarised resistor</w:t>
      </w:r>
      <w:r>
        <w:rPr>
          <w:rFonts w:hint="eastAsia"/>
        </w:rPr>
        <w:t xml:space="preserve">; </w:t>
      </w:r>
      <w:r>
        <w:rPr>
          <w:position w:val="-9"/>
        </w:rPr>
        <w:object>
          <v:shape id="_x0000_i1058" o:spt="75" type="#_x0000_t75" style="height:15.35pt;width:14.65pt;" o:ole="t" filled="f" coordsize="21600,21600">
            <v:path/>
            <v:fill on="f" focussize="0,0"/>
            <v:stroke/>
            <v:imagedata r:id="rId75" o:title=""/>
            <o:lock v:ext="edit" aspectratio="t"/>
            <w10:wrap type="none"/>
            <w10:anchorlock/>
          </v:shape>
          <o:OLEObject Type="Embed" ProgID="Equation.AxMath" ShapeID="_x0000_i1058" DrawAspect="Content" ObjectID="_1468075757" r:id="rId74">
            <o:LockedField>false</o:LockedField>
          </o:OLEObject>
        </w:object>
      </w:r>
      <w:r>
        <w:rPr>
          <w:rFonts w:hint="eastAsia"/>
        </w:rPr>
        <w:t xml:space="preserve"> represents </w:t>
      </w:r>
      <w:r>
        <w:t>Polarised capacitor</w:t>
      </w:r>
      <w:r>
        <w:rPr>
          <w:rFonts w:hint="eastAsia"/>
        </w:rPr>
        <w:t>；</w:t>
      </w:r>
      <w:r>
        <w:t xml:space="preserve">The product of </w:t>
      </w:r>
      <w:r>
        <w:rPr>
          <w:position w:val="-9"/>
        </w:rPr>
        <w:object>
          <v:shape id="_x0000_i1059" o:spt="75" type="#_x0000_t75" style="height:15.35pt;width:28pt;" o:ole="t" filled="f" coordsize="21600,21600">
            <v:path/>
            <v:fill on="f" focussize="0,0"/>
            <v:stroke/>
            <v:imagedata r:id="rId77" o:title=""/>
            <o:lock v:ext="edit" aspectratio="t"/>
            <w10:wrap type="none"/>
            <w10:anchorlock/>
          </v:shape>
          <o:OLEObject Type="Embed" ProgID="Equation.AxMath" ShapeID="_x0000_i1059" DrawAspect="Content" ObjectID="_1468075758" r:id="rId76">
            <o:LockedField>false</o:LockedField>
          </o:OLEObject>
        </w:object>
      </w:r>
      <w:r>
        <w:t xml:space="preserve"> The product of A serves as the polarisation time constant, determining both the speed of the voltage response and the duration of the memory effect.</w:t>
      </w:r>
    </w:p>
    <w:p w14:paraId="7BC3A2E0">
      <w:pPr>
        <w:snapToGrid w:val="0"/>
        <w:ind w:firstLine="0" w:firstLineChars="0"/>
      </w:pPr>
    </w:p>
    <w:p w14:paraId="15C5D127">
      <w:pPr>
        <w:snapToGrid w:val="0"/>
        <w:ind w:firstLine="0" w:firstLineChars="0"/>
        <w:rPr>
          <w:b/>
          <w:bCs/>
        </w:rPr>
      </w:pPr>
      <w:r>
        <w:rPr>
          <w:rFonts w:hint="eastAsia"/>
          <w:b/>
          <w:bCs/>
        </w:rPr>
        <w:t xml:space="preserve">Submodel </w:t>
      </w:r>
      <w:r>
        <w:rPr>
          <w:position w:val="-11"/>
        </w:rPr>
        <w:object>
          <v:shape id="_x0000_i1060" o:spt="75" type="#_x0000_t75" style="height:18pt;width:12.65pt;" o:ole="t" filled="f" coordsize="21600,21600">
            <v:path/>
            <v:fill on="f" focussize="0,0"/>
            <v:stroke/>
            <v:imagedata r:id="rId79" o:title=""/>
            <o:lock v:ext="edit" aspectratio="t"/>
            <w10:wrap type="none"/>
            <w10:anchorlock/>
          </v:shape>
          <o:OLEObject Type="Embed" ProgID="Equation.AxMath" ShapeID="_x0000_i1060" DrawAspect="Content" ObjectID="_1468075759" r:id="rId78">
            <o:LockedField>false</o:LockedField>
          </o:OLEObject>
        </w:object>
      </w:r>
      <w:r>
        <w:t xml:space="preserve"> </w:t>
      </w:r>
      <w:r>
        <w:rPr>
          <w:b/>
          <w:bCs/>
        </w:rPr>
        <w:t>Electrical-Thermal-SOH Coupled Model</w:t>
      </w:r>
      <w:r>
        <w:rPr>
          <w:rFonts w:hint="eastAsia"/>
          <w:b/>
          <w:bCs/>
        </w:rPr>
        <w:t>(ETS)</w:t>
      </w:r>
    </w:p>
    <w:p w14:paraId="26D0A8E6">
      <w:pPr>
        <w:snapToGrid w:val="0"/>
        <w:ind w:firstLine="0" w:firstLineChars="0"/>
        <w:rPr>
          <w:b/>
          <w:bCs/>
        </w:rPr>
      </w:pPr>
    </w:p>
    <w:p w14:paraId="355E6998">
      <w:pPr>
        <w:ind w:firstLine="480"/>
      </w:pPr>
      <w:r>
        <w:t>In the practical application of smartphone batteries, model parameters vary with other conditions, exhibiting a highly non-linear relationship between battery temperature and State of Health (SOH).</w:t>
      </w:r>
    </w:p>
    <w:p w14:paraId="741A6D77">
      <w:pPr>
        <w:ind w:firstLine="480"/>
      </w:pPr>
      <w:r>
        <w:rPr>
          <w:rFonts w:hint="eastAsia"/>
        </w:rPr>
        <w:t>A</w:t>
      </w:r>
      <w:r>
        <w:t>ccording to the Arrhenius law:</w:t>
      </w:r>
    </w:p>
    <w:p w14:paraId="18664C77">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47D52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34E65662">
            <w:pPr>
              <w:tabs>
                <w:tab w:val="center" w:pos="4180"/>
                <w:tab w:val="right" w:pos="8360"/>
              </w:tabs>
              <w:adjustRightInd w:val="0"/>
              <w:snapToGrid w:val="0"/>
              <w:ind w:firstLine="0" w:firstLineChars="0"/>
            </w:pPr>
            <w:r>
              <w:tab/>
            </w:r>
            <w:r>
              <w:rPr>
                <w:position w:val="-9"/>
              </w:rPr>
              <w:object>
                <v:shape id="_x0000_i1061" o:spt="75" type="#_x0000_t75" style="height:25.35pt;width:64pt;" o:ole="t" filled="f" coordsize="21600,21600">
                  <v:path/>
                  <v:fill on="f" focussize="0,0"/>
                  <v:stroke/>
                  <v:imagedata r:id="rId81" o:title=""/>
                  <o:lock v:ext="edit" aspectratio="t"/>
                  <w10:wrap type="none"/>
                  <w10:anchorlock/>
                </v:shape>
                <o:OLEObject Type="Embed" ProgID="Equation.AxMath" ShapeID="_x0000_i1061" DrawAspect="Content" ObjectID="_1468075760" r:id="rId80">
                  <o:LockedField>false</o:LockedField>
                </o:OLEObject>
              </w:object>
            </w:r>
          </w:p>
        </w:tc>
        <w:tc>
          <w:tcPr>
            <w:tcW w:w="644" w:type="dxa"/>
            <w:vAlign w:val="center"/>
          </w:tcPr>
          <w:p w14:paraId="038CB3AA">
            <w:pPr>
              <w:adjustRightInd w:val="0"/>
              <w:snapToGrid w:val="0"/>
              <w:ind w:firstLine="0" w:firstLineChars="0"/>
              <w:jc w:val="center"/>
            </w:pPr>
            <w:r>
              <w:t>(</w:t>
            </w:r>
            <w:r>
              <w:fldChar w:fldCharType="begin"/>
            </w:r>
            <w:r>
              <w:instrText xml:space="preserve"> AUTONUM  \* Arabic </w:instrText>
            </w:r>
            <w:r>
              <w:fldChar w:fldCharType="end"/>
            </w:r>
            <w:r>
              <w:t>)</w:t>
            </w:r>
          </w:p>
        </w:tc>
      </w:tr>
    </w:tbl>
    <w:p w14:paraId="584D5E76">
      <w:pPr>
        <w:ind w:firstLine="480"/>
      </w:pPr>
    </w:p>
    <w:p w14:paraId="0434BBBB">
      <w:pPr>
        <w:snapToGrid w:val="0"/>
        <w:ind w:firstLine="0" w:firstLineChars="0"/>
      </w:pPr>
      <w:r>
        <w:rPr>
          <w:rFonts w:hint="eastAsia"/>
        </w:rPr>
        <w:t xml:space="preserve">where </w:t>
      </w:r>
      <w:r>
        <w:rPr>
          <w:position w:val="-9"/>
        </w:rPr>
        <w:object>
          <v:shape id="_x0000_i1062" o:spt="75" type="#_x0000_t75" style="height:15.35pt;width:9.35pt;" o:ole="t" filled="f" coordsize="21600,21600">
            <v:path/>
            <v:fill on="f" focussize="0,0"/>
            <v:stroke/>
            <v:imagedata r:id="rId83" o:title=""/>
            <o:lock v:ext="edit" aspectratio="t"/>
            <w10:wrap type="none"/>
            <w10:anchorlock/>
          </v:shape>
          <o:OLEObject Type="Embed" ProgID="Equation.AxMath" ShapeID="_x0000_i1062" DrawAspect="Content" ObjectID="_1468075761" r:id="rId82">
            <o:LockedField>false</o:LockedField>
          </o:OLEObject>
        </w:object>
      </w:r>
      <w:r>
        <w:rPr>
          <w:rFonts w:hint="eastAsia"/>
        </w:rPr>
        <w:t xml:space="preserve"> represents </w:t>
      </w:r>
      <w:r>
        <w:t>Reaction rate constant</w:t>
      </w:r>
      <w:r>
        <w:rPr>
          <w:rFonts w:hint="eastAsia"/>
        </w:rPr>
        <w:t>.</w:t>
      </w:r>
      <w:r>
        <w:rPr>
          <w:position w:val="-9"/>
        </w:rPr>
        <w:object>
          <v:shape id="_x0000_i1063" o:spt="75" type="#_x0000_t75" style="height:15.35pt;width:16pt;" o:ole="t" filled="f" coordsize="21600,21600">
            <v:path/>
            <v:fill on="f" focussize="0,0"/>
            <v:stroke/>
            <v:imagedata r:id="rId85" o:title=""/>
            <o:lock v:ext="edit" aspectratio="t"/>
            <w10:wrap type="none"/>
            <w10:anchorlock/>
          </v:shape>
          <o:OLEObject Type="Embed" ProgID="Equation.AxMath" ShapeID="_x0000_i1063" DrawAspect="Content" ObjectID="_1468075762" r:id="rId84">
            <o:LockedField>false</o:LockedField>
          </o:OLEObject>
        </w:object>
      </w:r>
      <w:r>
        <w:t xml:space="preserve"> represents the maximum reaction energy barrier</w:t>
      </w:r>
      <w:r>
        <w:rPr>
          <w:rFonts w:hint="eastAsia"/>
          <w:lang w:eastAsia="zh-CN"/>
        </w:rPr>
        <w:t xml:space="preserve">, </w:t>
      </w:r>
      <w:r>
        <w:rPr>
          <w:position w:val="-9"/>
        </w:rPr>
        <w:object>
          <v:shape id="_x0000_i1064" o:spt="75" type="#_x0000_t75" style="height:15.35pt;width:15.35pt;" o:ole="t" filled="f" coordsize="21600,21600">
            <v:path/>
            <v:fill on="f" focussize="0,0"/>
            <v:stroke/>
            <v:imagedata r:id="rId87" o:title=""/>
            <o:lock v:ext="edit" aspectratio="t"/>
            <w10:wrap type="none"/>
            <w10:anchorlock/>
          </v:shape>
          <o:OLEObject Type="Embed" ProgID="Equation.AxMath" ShapeID="_x0000_i1064" DrawAspect="Content" ObjectID="_1468075763" r:id="rId86">
            <o:LockedField>false</o:LockedField>
          </o:OLEObject>
        </w:object>
      </w:r>
      <w:r>
        <w:t>represents the adjustment coefficient.</w:t>
      </w:r>
    </w:p>
    <w:p w14:paraId="50230AA2">
      <w:pPr>
        <w:snapToGrid w:val="0"/>
        <w:ind w:firstLine="480"/>
      </w:pPr>
      <w:r>
        <w:t>From this law, it follows that the higher the temperature, the more reactions overcome the maximum energy barrier, and the faster the reaction rate. In the field of batteries, the Arrhenius law explains the relationship between internal resistance and State of Health (SOH)</w:t>
      </w:r>
      <w:r>
        <w:rPr>
          <w:rFonts w:hint="eastAsia"/>
          <w:vertAlign w:val="superscript"/>
        </w:rPr>
        <w:t>[2]</w:t>
      </w:r>
      <w:r>
        <w:t xml:space="preserve"> degradation. Temperature variations are primarily governed by the law of energy conservation within the battery. The primary sources of heat generation are Joule heating from ohmic resistance and irreversible heat from polarisation resistance. Based on the relationship between these three factors, we can construct an </w:t>
      </w:r>
      <w:r>
        <w:rPr>
          <w:b/>
          <w:bCs/>
        </w:rPr>
        <w:t>electricity-heat-SOH model</w:t>
      </w:r>
      <w:r>
        <w:t>:</w:t>
      </w:r>
    </w:p>
    <w:p w14:paraId="2839FC64">
      <w:pPr>
        <w:snapToGrid w:val="0"/>
        <w:ind w:firstLine="480"/>
        <w:jc w:val="center"/>
      </w:pPr>
      <w:r>
        <w:drawing>
          <wp:inline distT="0" distB="0" distL="0" distR="0">
            <wp:extent cx="2863850" cy="2038985"/>
            <wp:effectExtent l="19050" t="19050" r="12700" b="18415"/>
            <wp:docPr id="16567563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56364" name="图片 1"/>
                    <pic:cNvPicPr>
                      <a:picLocks noChangeAspect="1"/>
                    </pic:cNvPicPr>
                  </pic:nvPicPr>
                  <pic:blipFill>
                    <a:blip r:embed="rId88"/>
                    <a:stretch>
                      <a:fillRect/>
                    </a:stretch>
                  </pic:blipFill>
                  <pic:spPr>
                    <a:xfrm>
                      <a:off x="0" y="0"/>
                      <a:ext cx="2881302" cy="2051324"/>
                    </a:xfrm>
                    <a:prstGeom prst="rect">
                      <a:avLst/>
                    </a:prstGeom>
                    <a:ln>
                      <a:solidFill>
                        <a:schemeClr val="tx1"/>
                      </a:solidFill>
                    </a:ln>
                  </pic:spPr>
                </pic:pic>
              </a:graphicData>
            </a:graphic>
          </wp:inline>
        </w:drawing>
      </w:r>
    </w:p>
    <w:p w14:paraId="1AEB40A0">
      <w:pPr>
        <w:pStyle w:val="50"/>
        <w:spacing w:after="163"/>
        <w:ind w:firstLine="480"/>
      </w:pPr>
      <w:r>
        <w:rPr>
          <w:rFonts w:hint="eastAsia" w:eastAsiaTheme="minorEastAsia"/>
        </w:rPr>
        <w:t>Reliationship between E-T-S</w:t>
      </w:r>
    </w:p>
    <w:p w14:paraId="7EC24249">
      <w:pPr>
        <w:snapToGrid w:val="0"/>
        <w:ind w:firstLine="480"/>
        <w:jc w:val="center"/>
      </w:pPr>
    </w:p>
    <w:p w14:paraId="1F809552">
      <w:pPr>
        <w:snapToGrid w:val="0"/>
        <w:ind w:firstLine="480"/>
      </w:pPr>
      <w:r>
        <w:rPr>
          <w:rFonts w:hint="eastAsia"/>
        </w:rPr>
        <w:t>Firstly,</w:t>
      </w:r>
      <w:r>
        <w:t xml:space="preserve"> the variation in </w:t>
      </w:r>
      <w:r>
        <w:rPr>
          <w:b/>
          <w:bCs/>
        </w:rPr>
        <w:t>ohmic internal resistance</w:t>
      </w:r>
      <w:r>
        <w:rPr>
          <w:position w:val="-9"/>
        </w:rPr>
        <w:object>
          <v:shape id="_x0000_i1065" o:spt="75" type="#_x0000_t75" style="height:15.35pt;width:16pt;" o:ole="t" filled="f" coordsize="21600,21600">
            <v:path/>
            <v:fill on="f" focussize="0,0"/>
            <v:stroke/>
            <v:imagedata r:id="rId24" o:title=""/>
            <o:lock v:ext="edit" aspectratio="t"/>
            <w10:wrap type="none"/>
            <w10:anchorlock/>
          </v:shape>
          <o:OLEObject Type="Embed" ProgID="Equation.AxMath" ShapeID="_x0000_i1065" DrawAspect="Content" ObjectID="_1468075764" r:id="rId89">
            <o:LockedField>false</o:LockedField>
          </o:OLEObject>
        </w:object>
      </w:r>
      <w:r>
        <w:t>comprises two components. The former relates to the internal resistance's dependence on</w:t>
      </w:r>
      <w:r>
        <w:rPr>
          <w:b/>
          <w:bCs/>
        </w:rPr>
        <w:t xml:space="preserve"> battery temperature</w:t>
      </w:r>
      <w:r>
        <w:t>, governed by a relationship analogous to the Arrhenius law.</w:t>
      </w:r>
      <w:r>
        <w:rPr>
          <w:rFonts w:hint="eastAsia"/>
          <w:vertAlign w:val="superscript"/>
        </w:rPr>
        <w:t>[9]</w:t>
      </w:r>
      <w:r>
        <w:t xml:space="preserve"> The latter is associated with </w:t>
      </w:r>
      <w:r>
        <w:rPr>
          <w:b/>
          <w:bCs/>
        </w:rPr>
        <w:t>State of Health (SOH)</w:t>
      </w:r>
      <w:r>
        <w:t xml:space="preserve"> and progressively increases as the battery ages:</w:t>
      </w:r>
    </w:p>
    <w:p w14:paraId="1F1A1657">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57578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22ED2982">
            <w:pPr>
              <w:tabs>
                <w:tab w:val="center" w:pos="4180"/>
                <w:tab w:val="right" w:pos="8360"/>
              </w:tabs>
              <w:adjustRightInd w:val="0"/>
              <w:snapToGrid w:val="0"/>
              <w:ind w:firstLine="0" w:firstLineChars="0"/>
            </w:pPr>
            <w:r>
              <w:tab/>
            </w:r>
            <w:r>
              <w:rPr>
                <w:position w:val="-27"/>
              </w:rPr>
              <w:object>
                <v:shape id="_x0000_i1066" o:spt="75" type="#_x0000_t75" style="height:34pt;width:331.35pt;" o:ole="t" filled="f" coordsize="21600,21600">
                  <v:path/>
                  <v:fill on="f" focussize="0,0"/>
                  <v:stroke/>
                  <v:imagedata r:id="rId91" o:title=""/>
                  <o:lock v:ext="edit" aspectratio="t"/>
                  <w10:wrap type="none"/>
                  <w10:anchorlock/>
                </v:shape>
                <o:OLEObject Type="Embed" ProgID="Equation.AxMath" ShapeID="_x0000_i1066" DrawAspect="Content" ObjectID="_1468075765" r:id="rId90">
                  <o:LockedField>false</o:LockedField>
                </o:OLEObject>
              </w:object>
            </w:r>
          </w:p>
        </w:tc>
        <w:tc>
          <w:tcPr>
            <w:tcW w:w="644" w:type="dxa"/>
            <w:vAlign w:val="center"/>
          </w:tcPr>
          <w:p w14:paraId="7F5E14F9">
            <w:pPr>
              <w:adjustRightInd w:val="0"/>
              <w:snapToGrid w:val="0"/>
              <w:ind w:firstLine="0" w:firstLineChars="0"/>
              <w:jc w:val="center"/>
            </w:pPr>
            <w:r>
              <w:t>(</w:t>
            </w:r>
            <w:r>
              <w:fldChar w:fldCharType="begin"/>
            </w:r>
            <w:r>
              <w:instrText xml:space="preserve"> AUTONUM  \* Arabic </w:instrText>
            </w:r>
            <w:r>
              <w:fldChar w:fldCharType="end"/>
            </w:r>
            <w:r>
              <w:t>)</w:t>
            </w:r>
          </w:p>
        </w:tc>
      </w:tr>
    </w:tbl>
    <w:p w14:paraId="5536F16B">
      <w:pPr>
        <w:snapToGrid w:val="0"/>
        <w:ind w:firstLine="0" w:firstLineChars="0"/>
      </w:pPr>
    </w:p>
    <w:p w14:paraId="7E99502B">
      <w:pPr>
        <w:snapToGrid w:val="0"/>
        <w:ind w:firstLine="0" w:firstLineChars="0"/>
      </w:pPr>
      <w:r>
        <w:t>W</w:t>
      </w:r>
      <w:r>
        <w:rPr>
          <w:rFonts w:hint="eastAsia"/>
        </w:rPr>
        <w:t xml:space="preserve">here </w:t>
      </w:r>
      <w:r>
        <w:rPr>
          <w:position w:val="-9"/>
        </w:rPr>
        <w:object>
          <v:shape id="_x0000_i1067" o:spt="75" type="#_x0000_t75" style="height:15.35pt;width:21.35pt;" o:ole="t" filled="f" coordsize="21600,21600">
            <v:path/>
            <v:fill on="f" focussize="0,0"/>
            <v:stroke/>
            <v:imagedata r:id="rId93" o:title=""/>
            <o:lock v:ext="edit" aspectratio="t"/>
            <w10:wrap type="none"/>
            <w10:anchorlock/>
          </v:shape>
          <o:OLEObject Type="Embed" ProgID="Equation.AxMath" ShapeID="_x0000_i1067" DrawAspect="Content" ObjectID="_1468075766" r:id="rId92">
            <o:LockedField>false</o:LockedField>
          </o:OLEObject>
        </w:object>
      </w:r>
      <w:r>
        <w:rPr>
          <w:rFonts w:hint="eastAsia"/>
        </w:rPr>
        <w:t xml:space="preserve"> represents </w:t>
      </w:r>
      <w:r>
        <w:t>the internal resistance</w:t>
      </w:r>
      <w:r>
        <w:rPr>
          <w:rFonts w:hint="eastAsia"/>
        </w:rPr>
        <w:t xml:space="preserve"> of r</w:t>
      </w:r>
      <w:r>
        <w:t xml:space="preserve">eference temperature </w:t>
      </w:r>
      <w:r>
        <w:rPr>
          <w:position w:val="-9"/>
        </w:rPr>
        <w:object>
          <v:shape id="_x0000_i1068" o:spt="75" type="#_x0000_t75" style="height:15.35pt;width:19.35pt;" o:ole="t" filled="f" coordsize="21600,21600">
            <v:path/>
            <v:fill on="f" focussize="0,0"/>
            <v:stroke/>
            <v:imagedata r:id="rId95" o:title=""/>
            <o:lock v:ext="edit" aspectratio="t"/>
            <w10:wrap type="none"/>
            <w10:anchorlock/>
          </v:shape>
          <o:OLEObject Type="Embed" ProgID="Equation.AxMath" ShapeID="_x0000_i1068" DrawAspect="Content" ObjectID="_1468075767" r:id="rId94">
            <o:LockedField>false</o:LockedField>
          </o:OLEObject>
        </w:object>
      </w:r>
      <w:r>
        <w:rPr>
          <w:rFonts w:hint="eastAsia"/>
          <w:lang w:eastAsia="zh-CN"/>
        </w:rPr>
        <w:t xml:space="preserve">, </w:t>
      </w:r>
      <w:r>
        <w:rPr>
          <w:rFonts w:hint="eastAsia"/>
        </w:rPr>
        <w:t xml:space="preserve"> </w:t>
      </w:r>
      <w:r>
        <w:rPr>
          <w:position w:val="-9"/>
        </w:rPr>
        <w:object>
          <v:shape id="_x0000_i1069" o:spt="75" type="#_x0000_t75" style="height:15.35pt;width:16pt;" o:ole="t" filled="f" coordsize="21600,21600">
            <v:path/>
            <v:fill on="f" focussize="0,0"/>
            <v:stroke/>
            <v:imagedata r:id="rId85" o:title=""/>
            <o:lock v:ext="edit" aspectratio="t"/>
            <w10:wrap type="none"/>
            <w10:anchorlock/>
          </v:shape>
          <o:OLEObject Type="Embed" ProgID="Equation.AxMath" ShapeID="_x0000_i1069" DrawAspect="Content" ObjectID="_1468075768" r:id="rId96">
            <o:LockedField>false</o:LockedField>
          </o:OLEObject>
        </w:object>
      </w:r>
      <w:r>
        <w:rPr>
          <w:rFonts w:hint="eastAsia"/>
        </w:rPr>
        <w:t xml:space="preserve"> represents</w:t>
      </w:r>
      <w:r>
        <w:t>Maximum reaction energy barrier</w:t>
      </w:r>
      <w:r>
        <w:rPr>
          <w:rFonts w:hint="eastAsia"/>
        </w:rPr>
        <w:t>,</w:t>
      </w:r>
      <w:r>
        <w:t xml:space="preserve"> Ageing factors </w:t>
      </w:r>
      <w:r>
        <w:rPr>
          <w:position w:val="-11"/>
        </w:rPr>
        <w:object>
          <v:shape id="_x0000_i1070" o:spt="75" type="#_x0000_t75" style="height:16.65pt;width:55.35pt;" o:ole="t" filled="f" coordsize="21600,21600">
            <v:path/>
            <v:fill on="f" focussize="0,0"/>
            <v:stroke/>
            <v:imagedata r:id="rId98" o:title=""/>
            <o:lock v:ext="edit" aspectratio="t"/>
            <w10:wrap type="none"/>
            <w10:anchorlock/>
          </v:shape>
          <o:OLEObject Type="Embed" ProgID="Equation.AxMath" ShapeID="_x0000_i1070" DrawAspect="Content" ObjectID="_1468075769" r:id="rId97">
            <o:LockedField>false</o:LockedField>
          </o:OLEObject>
        </w:object>
      </w:r>
      <w:r>
        <w:t xml:space="preserve"> introduce the effect of increased internal resistance due to the deterioration of battery health.</w:t>
      </w:r>
    </w:p>
    <w:p w14:paraId="2AB10026">
      <w:pPr>
        <w:ind w:firstLine="480"/>
      </w:pPr>
    </w:p>
    <w:p w14:paraId="485B2442">
      <w:pPr>
        <w:ind w:firstLine="480"/>
      </w:pPr>
      <w:r>
        <w:t xml:space="preserve">Secondly, the </w:t>
      </w:r>
      <w:r>
        <w:rPr>
          <w:b/>
          <w:bCs/>
        </w:rPr>
        <w:t>thermodynamic equation</w:t>
      </w:r>
      <w:r>
        <w:t xml:space="preserve"> governing battery temperature changes:</w:t>
      </w:r>
    </w:p>
    <w:p w14:paraId="17AC2DE7">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7A90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6B8ACED1">
            <w:pPr>
              <w:tabs>
                <w:tab w:val="center" w:pos="4180"/>
                <w:tab w:val="right" w:pos="8360"/>
              </w:tabs>
              <w:adjustRightInd w:val="0"/>
              <w:snapToGrid w:val="0"/>
              <w:ind w:firstLine="0" w:firstLineChars="0"/>
            </w:pPr>
            <w:r>
              <w:tab/>
            </w:r>
            <w:r>
              <w:rPr>
                <w:position w:val="-26"/>
              </w:rPr>
              <w:object>
                <v:shape id="_x0000_i1071" o:spt="75" type="#_x0000_t75" style="height:32.65pt;width:293.35pt;" o:ole="t" filled="f" coordsize="21600,21600">
                  <v:path/>
                  <v:fill on="f" focussize="0,0"/>
                  <v:stroke/>
                  <v:imagedata r:id="rId100" o:title=""/>
                  <o:lock v:ext="edit" aspectratio="t"/>
                  <w10:wrap type="none"/>
                  <w10:anchorlock/>
                </v:shape>
                <o:OLEObject Type="Embed" ProgID="Equation.AxMath" ShapeID="_x0000_i1071" DrawAspect="Content" ObjectID="_1468075770" r:id="rId99">
                  <o:LockedField>false</o:LockedField>
                </o:OLEObject>
              </w:object>
            </w:r>
          </w:p>
        </w:tc>
        <w:tc>
          <w:tcPr>
            <w:tcW w:w="644" w:type="dxa"/>
            <w:vAlign w:val="center"/>
          </w:tcPr>
          <w:p w14:paraId="472D15C5">
            <w:pPr>
              <w:adjustRightInd w:val="0"/>
              <w:snapToGrid w:val="0"/>
              <w:ind w:firstLine="0" w:firstLineChars="0"/>
              <w:jc w:val="center"/>
            </w:pPr>
            <w:r>
              <w:t>(</w:t>
            </w:r>
            <w:r>
              <w:fldChar w:fldCharType="begin"/>
            </w:r>
            <w:r>
              <w:instrText xml:space="preserve"> AUTONUM  \* Arabic </w:instrText>
            </w:r>
            <w:r>
              <w:fldChar w:fldCharType="end"/>
            </w:r>
            <w:r>
              <w:t>)</w:t>
            </w:r>
          </w:p>
        </w:tc>
      </w:tr>
    </w:tbl>
    <w:p w14:paraId="1B2AD451">
      <w:pPr>
        <w:ind w:firstLine="0" w:firstLineChars="0"/>
      </w:pPr>
    </w:p>
    <w:p w14:paraId="324F7E06">
      <w:pPr>
        <w:snapToGrid w:val="0"/>
        <w:ind w:firstLine="0" w:firstLineChars="0"/>
      </w:pPr>
      <w:r>
        <w:rPr>
          <w:rFonts w:hint="eastAsia"/>
        </w:rPr>
        <w:t xml:space="preserve">where </w:t>
      </w:r>
      <w:r>
        <w:rPr>
          <w:position w:val="-9"/>
        </w:rPr>
        <w:object>
          <v:shape id="_x0000_i1072" o:spt="75" type="#_x0000_t75" style="height:15.35pt;width:18.65pt;" o:ole="t" filled="f" coordsize="21600,21600">
            <v:path/>
            <v:fill on="f" focussize="0,0"/>
            <v:stroke/>
            <v:imagedata r:id="rId102" o:title=""/>
            <o:lock v:ext="edit" aspectratio="t"/>
            <w10:wrap type="none"/>
            <w10:anchorlock/>
          </v:shape>
          <o:OLEObject Type="Embed" ProgID="Equation.AxMath" ShapeID="_x0000_i1072" DrawAspect="Content" ObjectID="_1468075771" r:id="rId101">
            <o:LockedField>false</o:LockedField>
          </o:OLEObject>
        </w:object>
      </w:r>
      <w:r>
        <w:rPr>
          <w:rFonts w:hint="eastAsia"/>
        </w:rPr>
        <w:t xml:space="preserve"> represents </w:t>
      </w:r>
      <w:r>
        <w:t>Battery thermal capacity,</w:t>
      </w:r>
      <w:r>
        <w:rPr>
          <w:rFonts w:hint="eastAsia"/>
        </w:rPr>
        <w:t xml:space="preserve"> </w:t>
      </w:r>
      <w:r>
        <w:rPr>
          <w:rFonts w:hint="eastAsia"/>
          <w:i/>
          <w:iCs/>
        </w:rPr>
        <w:t>h</w:t>
      </w:r>
      <w:r>
        <w:rPr>
          <w:rFonts w:hint="eastAsia"/>
        </w:rPr>
        <w:t>A represents</w:t>
      </w:r>
      <w:r>
        <w:t xml:space="preserve"> Convective heat transfer coefficient,</w:t>
      </w:r>
      <w:r>
        <w:rPr>
          <w:position w:val="-9"/>
        </w:rPr>
        <w:object>
          <v:shape id="_x0000_i1073" o:spt="75" type="#_x0000_t75" style="height:15.35pt;width:14pt;" o:ole="t" filled="f" coordsize="21600,21600">
            <v:path/>
            <v:fill on="f" focussize="0,0"/>
            <v:stroke/>
            <v:imagedata r:id="rId30" o:title=""/>
            <o:lock v:ext="edit" aspectratio="t"/>
            <w10:wrap type="none"/>
            <w10:anchorlock/>
          </v:shape>
          <o:OLEObject Type="Embed" ProgID="Equation.AxMath" ShapeID="_x0000_i1073" DrawAspect="Content" ObjectID="_1468075772" r:id="rId103">
            <o:LockedField>false</o:LockedField>
          </o:OLEObject>
        </w:object>
      </w:r>
      <w:r>
        <w:t xml:space="preserve"> Indicates ambient temperature</w:t>
      </w:r>
      <w:r>
        <w:rPr>
          <w:rFonts w:hint="eastAsia"/>
          <w:lang w:eastAsia="zh-CN"/>
        </w:rPr>
        <w:t xml:space="preserve">, </w:t>
      </w:r>
      <w:r>
        <w:t>The first term represents the generation of Joule heat, while the final term accounts for the heat dissipation process resulting from the temperature difference between the battery and its surroundings.</w:t>
      </w:r>
    </w:p>
    <w:p w14:paraId="1A2BA4AC">
      <w:pPr>
        <w:ind w:firstLine="480"/>
      </w:pPr>
    </w:p>
    <w:p w14:paraId="42A1DBA4">
      <w:pPr>
        <w:ind w:firstLine="480"/>
      </w:pPr>
      <w:r>
        <w:t xml:space="preserve">Finally, </w:t>
      </w:r>
      <w:r>
        <w:rPr>
          <w:b/>
          <w:bCs/>
        </w:rPr>
        <w:t>the differential decay model</w:t>
      </w:r>
      <w:r>
        <w:t xml:space="preserve"> of State of Health (SOH) primarily describes the relationship between SEI film growth and battery capacity decay.</w:t>
      </w:r>
    </w:p>
    <w:p w14:paraId="5673FE37">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02FD4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8" w:hRule="atLeast"/>
        </w:trPr>
        <w:tc>
          <w:tcPr>
            <w:tcW w:w="8580" w:type="dxa"/>
            <w:vAlign w:val="center"/>
          </w:tcPr>
          <w:p w14:paraId="3AEC6371">
            <w:pPr>
              <w:tabs>
                <w:tab w:val="center" w:pos="4180"/>
                <w:tab w:val="right" w:pos="8360"/>
              </w:tabs>
              <w:adjustRightInd w:val="0"/>
              <w:snapToGrid w:val="0"/>
              <w:ind w:firstLine="0" w:firstLineChars="0"/>
            </w:pPr>
            <w:r>
              <w:tab/>
            </w:r>
            <w:r>
              <w:rPr>
                <w:position w:val="-26"/>
              </w:rPr>
              <w:object>
                <v:shape id="_x0000_i1074" o:spt="75" type="#_x0000_t75" style="height:32.65pt;width:202.65pt;" o:ole="t" filled="f" coordsize="21600,21600">
                  <v:path/>
                  <v:fill on="f" focussize="0,0"/>
                  <v:stroke/>
                  <v:imagedata r:id="rId105" o:title=""/>
                  <o:lock v:ext="edit" aspectratio="t"/>
                  <w10:wrap type="none"/>
                  <w10:anchorlock/>
                </v:shape>
                <o:OLEObject Type="Embed" ProgID="Equation.AxMath" ShapeID="_x0000_i1074" DrawAspect="Content" ObjectID="_1468075773" r:id="rId104">
                  <o:LockedField>false</o:LockedField>
                </o:OLEObject>
              </w:object>
            </w:r>
          </w:p>
        </w:tc>
        <w:tc>
          <w:tcPr>
            <w:tcW w:w="644" w:type="dxa"/>
            <w:vAlign w:val="center"/>
          </w:tcPr>
          <w:p w14:paraId="19AFA944">
            <w:pPr>
              <w:adjustRightInd w:val="0"/>
              <w:snapToGrid w:val="0"/>
              <w:ind w:firstLine="0" w:firstLineChars="0"/>
              <w:jc w:val="center"/>
            </w:pPr>
            <w:r>
              <w:t>(</w:t>
            </w:r>
            <w:r>
              <w:fldChar w:fldCharType="begin"/>
            </w:r>
            <w:r>
              <w:instrText xml:space="preserve"> AUTONUM  \* Arabic </w:instrText>
            </w:r>
            <w:r>
              <w:fldChar w:fldCharType="end"/>
            </w:r>
            <w:r>
              <w:t>)</w:t>
            </w:r>
          </w:p>
        </w:tc>
      </w:tr>
    </w:tbl>
    <w:p w14:paraId="07B61719">
      <w:pPr>
        <w:snapToGrid w:val="0"/>
        <w:ind w:firstLine="0" w:firstLineChars="0"/>
      </w:pPr>
      <w:r>
        <w:rPr>
          <w:rFonts w:hint="eastAsia"/>
        </w:rPr>
        <w:t xml:space="preserve">where </w:t>
      </w:r>
      <w:r>
        <w:rPr>
          <w:position w:val="-9"/>
        </w:rPr>
        <w:object>
          <v:shape id="_x0000_i1075" o:spt="75" type="#_x0000_t75" style="height:15.35pt;width:18.65pt;" o:ole="t" filled="f" coordsize="21600,21600">
            <v:path/>
            <v:fill on="f" focussize="0,0"/>
            <v:stroke/>
            <v:imagedata r:id="rId107" o:title=""/>
            <o:lock v:ext="edit" aspectratio="t"/>
            <w10:wrap type="none"/>
            <w10:anchorlock/>
          </v:shape>
          <o:OLEObject Type="Embed" ProgID="Equation.AxMath" ShapeID="_x0000_i1075" DrawAspect="Content" ObjectID="_1468075774" r:id="rId106">
            <o:LockedField>false</o:LockedField>
          </o:OLEObject>
        </w:object>
      </w:r>
      <w:r>
        <w:rPr>
          <w:rFonts w:hint="eastAsia"/>
        </w:rPr>
        <w:t xml:space="preserve"> represents </w:t>
      </w:r>
      <w:r>
        <w:t>SEI film growth rate constant</w:t>
      </w:r>
      <w:r>
        <w:rPr>
          <w:rFonts w:hint="eastAsia"/>
          <w:lang w:eastAsia="zh-CN"/>
        </w:rPr>
        <w:t xml:space="preserve">, </w:t>
      </w:r>
      <w:r>
        <w:t xml:space="preserve"> represents the current ageing index, describing the sensitivity of ageing to the magnitude of current.</w:t>
      </w:r>
    </w:p>
    <w:p w14:paraId="4BC6B968">
      <w:pPr>
        <w:ind w:firstLine="480"/>
      </w:pPr>
      <w:r>
        <w:t>The coupled effects of these three equations collectively constitute the electro-thermal-SOH coupling model.</w:t>
      </w:r>
    </w:p>
    <w:p w14:paraId="4C986635">
      <w:pPr>
        <w:ind w:firstLine="480"/>
      </w:pPr>
    </w:p>
    <w:bookmarkEnd w:id="19"/>
    <w:p w14:paraId="1B637C70">
      <w:pPr>
        <w:pStyle w:val="3"/>
        <w:spacing w:after="163"/>
      </w:pPr>
      <w:bookmarkStart w:id="20" w:name="_Toc20127"/>
      <w:r>
        <w:t>Component Power Consumption Model</w:t>
      </w:r>
      <w:bookmarkEnd w:id="20"/>
    </w:p>
    <w:p w14:paraId="0F3F082A">
      <w:pPr>
        <w:ind w:firstLine="480"/>
      </w:pPr>
      <w:r>
        <w:t>Regarding the establishment of the total power model, our key assumption is that the total power model represents a linear superposition of its component parts. The total power model is as follows:</w:t>
      </w:r>
    </w:p>
    <w:p w14:paraId="075912D9">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51D1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344AD9EB">
            <w:pPr>
              <w:tabs>
                <w:tab w:val="center" w:pos="4180"/>
                <w:tab w:val="right" w:pos="8360"/>
              </w:tabs>
              <w:adjustRightInd w:val="0"/>
              <w:snapToGrid w:val="0"/>
              <w:ind w:firstLine="0" w:firstLineChars="0"/>
            </w:pPr>
            <w:r>
              <w:tab/>
            </w:r>
            <w:r>
              <w:rPr>
                <w:position w:val="-10"/>
              </w:rPr>
              <w:object>
                <v:shape id="_x0000_i1076" o:spt="75" type="#_x0000_t75" style="height:16pt;width:272.65pt;" o:ole="t" filled="f" coordsize="21600,21600">
                  <v:path/>
                  <v:fill on="f" focussize="0,0"/>
                  <v:stroke/>
                  <v:imagedata r:id="rId109" o:title=""/>
                  <o:lock v:ext="edit" aspectratio="t"/>
                  <w10:wrap type="none"/>
                  <w10:anchorlock/>
                </v:shape>
                <o:OLEObject Type="Embed" ProgID="Equation.AxMath" ShapeID="_x0000_i1076" DrawAspect="Content" ObjectID="_1468075775" r:id="rId108">
                  <o:LockedField>false</o:LockedField>
                </o:OLEObject>
              </w:object>
            </w:r>
          </w:p>
        </w:tc>
        <w:tc>
          <w:tcPr>
            <w:tcW w:w="644" w:type="dxa"/>
            <w:vAlign w:val="center"/>
          </w:tcPr>
          <w:p w14:paraId="3696CA0A">
            <w:pPr>
              <w:adjustRightInd w:val="0"/>
              <w:snapToGrid w:val="0"/>
              <w:ind w:firstLine="0" w:firstLineChars="0"/>
              <w:jc w:val="center"/>
            </w:pPr>
            <w:r>
              <w:t>(</w:t>
            </w:r>
            <w:r>
              <w:fldChar w:fldCharType="begin"/>
            </w:r>
            <w:r>
              <w:instrText xml:space="preserve"> AUTONUM  \* Arabic </w:instrText>
            </w:r>
            <w:r>
              <w:fldChar w:fldCharType="end"/>
            </w:r>
            <w:r>
              <w:t>)</w:t>
            </w:r>
          </w:p>
        </w:tc>
      </w:tr>
    </w:tbl>
    <w:p w14:paraId="163F38E9">
      <w:pPr>
        <w:ind w:firstLine="0" w:firstLineChars="0"/>
      </w:pPr>
    </w:p>
    <w:p w14:paraId="48D707CF">
      <w:pPr>
        <w:snapToGrid w:val="0"/>
        <w:ind w:firstLine="0" w:firstLineChars="0"/>
      </w:pPr>
      <w:r>
        <w:t>W</w:t>
      </w:r>
      <w:r>
        <w:rPr>
          <w:rFonts w:hint="eastAsia"/>
        </w:rPr>
        <w:t xml:space="preserve">here </w:t>
      </w:r>
      <w:r>
        <w:rPr>
          <w:position w:val="-9"/>
        </w:rPr>
        <w:object>
          <v:shape id="_x0000_i1077" o:spt="75" type="#_x0000_t75" style="height:15.35pt;width:18.65pt;" o:ole="t" filled="f" coordsize="21600,21600">
            <v:path/>
            <v:fill on="f" focussize="0,0"/>
            <v:stroke/>
            <v:imagedata r:id="rId111" o:title=""/>
            <o:lock v:ext="edit" aspectratio="t"/>
            <w10:wrap type="none"/>
            <w10:anchorlock/>
          </v:shape>
          <o:OLEObject Type="Embed" ProgID="Equation.AxMath" ShapeID="_x0000_i1077" DrawAspect="Content" ObjectID="_1468075776" r:id="rId110">
            <o:LockedField>false</o:LockedField>
          </o:OLEObject>
        </w:object>
      </w:r>
      <w:r>
        <w:rPr>
          <w:rFonts w:hint="eastAsia"/>
        </w:rPr>
        <w:t xml:space="preserve"> </w:t>
      </w:r>
      <w:r>
        <w:t>represents the minimum baseline power consumption required to maintain system operation</w:t>
      </w:r>
      <w:r>
        <w:rPr>
          <w:rFonts w:hint="eastAsia"/>
        </w:rPr>
        <w:t>c</w:t>
      </w:r>
      <w:r>
        <w:rPr>
          <w:rFonts w:hint="eastAsia"/>
          <w:lang w:eastAsia="zh-CN"/>
        </w:rPr>
        <w:t xml:space="preserve">, </w:t>
      </w:r>
      <w:r>
        <w:rPr>
          <w:position w:val="-10"/>
        </w:rPr>
        <w:object>
          <v:shape id="_x0000_i1078" o:spt="75" type="#_x0000_t75" style="height:16pt;width:41.35pt;" o:ole="t" filled="f" coordsize="21600,21600">
            <v:path/>
            <v:fill on="f" focussize="0,0"/>
            <v:stroke/>
            <v:imagedata r:id="rId113" o:title=""/>
            <o:lock v:ext="edit" aspectratio="t"/>
            <w10:wrap type="none"/>
            <w10:anchorlock/>
          </v:shape>
          <o:OLEObject Type="Embed" ProgID="Equation.AxMath" ShapeID="_x0000_i1078" DrawAspect="Content" ObjectID="_1468075777" r:id="rId112">
            <o:LockedField>false</o:LockedField>
          </o:OLEObject>
        </w:object>
      </w:r>
      <w:r>
        <w:rPr>
          <w:rFonts w:hint="eastAsia"/>
        </w:rPr>
        <w:t xml:space="preserve"> </w:t>
      </w:r>
      <w:r>
        <w:t>represents the screen power at a given brightness level</w:t>
      </w:r>
      <w:r>
        <w:rPr>
          <w:rFonts w:hint="eastAsia"/>
          <w:lang w:eastAsia="zh-CN"/>
        </w:rPr>
        <w:t xml:space="preserve">, </w:t>
      </w:r>
      <w:r>
        <w:rPr>
          <w:position w:val="-10"/>
        </w:rPr>
        <w:object>
          <v:shape id="_x0000_i1079" o:spt="75" type="#_x0000_t75" style="height:16pt;width:42pt;" o:ole="t" filled="f" coordsize="21600,21600">
            <v:path/>
            <v:fill on="f" focussize="0,0"/>
            <v:stroke/>
            <v:imagedata r:id="rId115" o:title=""/>
            <o:lock v:ext="edit" aspectratio="t"/>
            <w10:wrap type="none"/>
            <w10:anchorlock/>
          </v:shape>
          <o:OLEObject Type="Embed" ProgID="Equation.AxMath" ShapeID="_x0000_i1079" DrawAspect="Content" ObjectID="_1468075778" r:id="rId114">
            <o:LockedField>false</o:LockedField>
          </o:OLEObject>
        </w:object>
      </w:r>
      <w:r>
        <w:rPr>
          <w:rFonts w:hint="eastAsia"/>
        </w:rPr>
        <w:t xml:space="preserve"> </w:t>
      </w:r>
      <w:r>
        <w:t>represents CPU power under specific load,</w:t>
      </w:r>
      <w:r>
        <w:rPr>
          <w:position w:val="-10"/>
        </w:rPr>
        <w:object>
          <v:shape id="_x0000_i1080" o:spt="75" type="#_x0000_t75" style="height:16pt;width:70pt;" o:ole="t" filled="f" coordsize="21600,21600">
            <v:path/>
            <v:fill on="f" focussize="0,0"/>
            <v:stroke/>
            <v:imagedata r:id="rId117" o:title=""/>
            <o:lock v:ext="edit" aspectratio="t"/>
            <w10:wrap type="none"/>
            <w10:anchorlock/>
          </v:shape>
          <o:OLEObject Type="Embed" ProgID="Equation.AxMath" ShapeID="_x0000_i1080" DrawAspect="Content" ObjectID="_1468075779" r:id="rId116">
            <o:LockedField>false</o:LockedField>
          </o:OLEObject>
        </w:object>
      </w:r>
      <w:r>
        <w:rPr>
          <w:rFonts w:hint="eastAsia"/>
        </w:rPr>
        <w:t xml:space="preserve"> </w:t>
      </w:r>
      <w:r>
        <w:t>represents the instantaneous power consumption of the network communication module.</w:t>
      </w:r>
    </w:p>
    <w:p w14:paraId="195E7F71">
      <w:pPr>
        <w:snapToGrid w:val="0"/>
        <w:ind w:firstLine="0" w:firstLineChars="0"/>
      </w:pPr>
    </w:p>
    <w:p w14:paraId="36A09646">
      <w:pPr>
        <w:pStyle w:val="4"/>
      </w:pPr>
      <w:r>
        <w:t xml:space="preserve"> </w:t>
      </w:r>
      <w:bookmarkStart w:id="21" w:name="_Toc4562"/>
      <w:r>
        <w:t>Screen and CPU Power Consumption</w:t>
      </w:r>
      <w:bookmarkEnd w:id="21"/>
    </w:p>
    <w:p w14:paraId="61CDC58A">
      <w:pPr>
        <w:ind w:firstLine="480"/>
      </w:pPr>
      <w:r>
        <w:t xml:space="preserve">Firstly, the </w:t>
      </w:r>
      <w:r>
        <w:rPr>
          <w:rFonts w:hint="eastAsia"/>
          <w:b/>
          <w:bCs/>
        </w:rPr>
        <w:t>Screen</w:t>
      </w:r>
      <w:r>
        <w:rPr>
          <w:rFonts w:hint="eastAsia"/>
        </w:rPr>
        <w:t xml:space="preserve"> </w:t>
      </w:r>
      <w:r>
        <w:t xml:space="preserve">accounts for the </w:t>
      </w:r>
      <w:r>
        <w:rPr>
          <w:b/>
          <w:bCs/>
        </w:rPr>
        <w:t>highest proportion</w:t>
      </w:r>
      <w:r>
        <w:t xml:space="preserve"> of mobile phone power consumption, exceeding 30% in the vast majority of scenarios.</w:t>
      </w:r>
    </w:p>
    <w:p w14:paraId="2E20233D">
      <w:pPr>
        <w:ind w:firstLine="480"/>
      </w:pPr>
      <w:r>
        <w:t xml:space="preserve">According to the </w:t>
      </w:r>
      <w:r>
        <w:rPr>
          <w:b/>
          <w:bCs/>
        </w:rPr>
        <w:t>Weber-Fechner law</w:t>
      </w:r>
      <w:r>
        <w:t>, subjective intensity perception is proportional to the logarithm of physical stimulus intensity. Therefore, it is considered that perceived brightness exhibits a non-linear relationship with backlight power.</w:t>
      </w:r>
    </w:p>
    <w:p w14:paraId="414BD792">
      <w:pPr>
        <w:ind w:firstLine="480"/>
      </w:pPr>
      <w:r>
        <w:t>For display power consumption, we employ an exponential model:</w:t>
      </w:r>
    </w:p>
    <w:p w14:paraId="4B705A23">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96B9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53D763E3">
            <w:pPr>
              <w:tabs>
                <w:tab w:val="center" w:pos="4180"/>
                <w:tab w:val="right" w:pos="8360"/>
              </w:tabs>
              <w:adjustRightInd w:val="0"/>
              <w:snapToGrid w:val="0"/>
              <w:ind w:firstLine="0" w:firstLineChars="0"/>
            </w:pPr>
            <w:r>
              <w:tab/>
            </w:r>
            <w:r>
              <w:rPr>
                <w:position w:val="-10"/>
              </w:rPr>
              <w:object>
                <v:shape id="_x0000_i1081" o:spt="75" type="#_x0000_t75" style="height:16pt;width:166pt;" o:ole="t" filled="f" coordsize="21600,21600">
                  <v:path/>
                  <v:fill on="f" focussize="0,0"/>
                  <v:stroke/>
                  <v:imagedata r:id="rId119" o:title=""/>
                  <o:lock v:ext="edit" aspectratio="t"/>
                  <w10:wrap type="none"/>
                  <w10:anchorlock/>
                </v:shape>
                <o:OLEObject Type="Embed" ProgID="Equation.AxMath" ShapeID="_x0000_i1081" DrawAspect="Content" ObjectID="_1468075780" r:id="rId118">
                  <o:LockedField>false</o:LockedField>
                </o:OLEObject>
              </w:object>
            </w:r>
          </w:p>
        </w:tc>
        <w:tc>
          <w:tcPr>
            <w:tcW w:w="644" w:type="dxa"/>
            <w:vAlign w:val="center"/>
          </w:tcPr>
          <w:p w14:paraId="091FF0F5">
            <w:pPr>
              <w:adjustRightInd w:val="0"/>
              <w:snapToGrid w:val="0"/>
              <w:ind w:firstLine="0" w:firstLineChars="0"/>
              <w:jc w:val="center"/>
            </w:pPr>
            <w:r>
              <w:t>(</w:t>
            </w:r>
            <w:r>
              <w:fldChar w:fldCharType="begin"/>
            </w:r>
            <w:r>
              <w:instrText xml:space="preserve"> AUTONUM  \* Arabic </w:instrText>
            </w:r>
            <w:r>
              <w:fldChar w:fldCharType="end"/>
            </w:r>
            <w:r>
              <w:t>)</w:t>
            </w:r>
          </w:p>
        </w:tc>
      </w:tr>
    </w:tbl>
    <w:p w14:paraId="160CAF28">
      <w:pPr>
        <w:ind w:firstLine="199" w:firstLineChars="83"/>
      </w:pPr>
    </w:p>
    <w:p w14:paraId="29366E81">
      <w:pPr>
        <w:snapToGrid w:val="0"/>
        <w:ind w:firstLine="0" w:firstLineChars="0"/>
      </w:pPr>
      <w:r>
        <w:rPr>
          <w:rFonts w:hint="eastAsia"/>
        </w:rPr>
        <w:t>where</w:t>
      </w:r>
      <w:r>
        <w:rPr>
          <w:position w:val="-9"/>
        </w:rPr>
        <w:object>
          <v:shape id="_x0000_i1082" o:spt="75" type="#_x0000_t75" style="height:15.35pt;width:28pt;" o:ole="t" filled="f" coordsize="21600,21600">
            <v:path/>
            <v:fill on="f" focussize="0,0"/>
            <v:stroke/>
            <v:imagedata r:id="rId121" o:title=""/>
            <o:lock v:ext="edit" aspectratio="t"/>
            <w10:wrap type="none"/>
            <w10:anchorlock/>
          </v:shape>
          <o:OLEObject Type="Embed" ProgID="Equation.AxMath" ShapeID="_x0000_i1082" DrawAspect="Content" ObjectID="_1468075781" r:id="rId120">
            <o:LockedField>false</o:LockedField>
          </o:OLEObject>
        </w:object>
      </w:r>
      <w:r>
        <w:t>represents the base power, i.e. the power required to maintain the screen's operation even when the screen brightness is set to zero;</w:t>
      </w:r>
      <w:r>
        <w:rPr>
          <w:position w:val="-9"/>
        </w:rPr>
        <w:object>
          <v:shape id="_x0000_i1083" o:spt="75" type="#_x0000_t75" style="height:15.35pt;width:10.65pt;" o:ole="t" filled="f" coordsize="21600,21600">
            <v:path/>
            <v:fill on="f" focussize="0,0"/>
            <v:stroke/>
            <v:imagedata r:id="rId123" o:title=""/>
            <o:lock v:ext="edit" aspectratio="t"/>
            <w10:wrap type="none"/>
            <w10:anchorlock/>
          </v:shape>
          <o:OLEObject Type="Embed" ProgID="Equation.AxMath" ShapeID="_x0000_i1083" DrawAspect="Content" ObjectID="_1468075782" r:id="rId122">
            <o:LockedField>false</o:LockedField>
          </o:OLEObject>
        </w:object>
      </w:r>
      <w:r>
        <w:t xml:space="preserve">is screen brightness; according to the Weber-Fechner law, for a linear increase in perceived brightness, the screen's backlight power must increase exponentially, typically set </w:t>
      </w:r>
      <w:r>
        <w:rPr>
          <w:position w:val="-9"/>
        </w:rPr>
        <w:object>
          <v:shape id="_x0000_i1084" o:spt="75" type="#_x0000_t75" style="height:15.35pt;width:43.35pt;" o:ole="t" filled="f" coordsize="21600,21600">
            <v:path/>
            <v:fill on="f" focussize="0,0"/>
            <v:stroke/>
            <v:imagedata r:id="rId125" o:title=""/>
            <o:lock v:ext="edit" aspectratio="t"/>
            <w10:wrap type="none"/>
            <w10:anchorlock/>
          </v:shape>
          <o:OLEObject Type="Embed" ProgID="Equation.AxMath" ShapeID="_x0000_i1084" DrawAspect="Content" ObjectID="_1468075783" r:id="rId124">
            <o:LockedField>false</o:LockedField>
          </o:OLEObject>
        </w:object>
      </w:r>
      <w:r>
        <w:t>.</w:t>
      </w:r>
    </w:p>
    <w:p w14:paraId="66C6411A">
      <w:pPr>
        <w:ind w:firstLine="480"/>
      </w:pPr>
      <w:r>
        <w:t>Secondly, while the</w:t>
      </w:r>
      <w:r>
        <w:rPr>
          <w:b/>
          <w:bCs/>
        </w:rPr>
        <w:t xml:space="preserve"> CPU's power consumption</w:t>
      </w:r>
      <w:r>
        <w:t xml:space="preserve"> is generally lower than that of the display, it remains the component within a smartphone exhibiting the greatest fluctuations in power usage. CPU power consumption is strongly correlated with computational load, operating frequency, and manufacturing process technology. Its power consumption follows the </w:t>
      </w:r>
      <w:r>
        <w:rPr>
          <w:position w:val="-9"/>
        </w:rPr>
        <w:object>
          <v:shape id="_x0000_i1085" o:spt="75" type="#_x0000_t75" style="height:15.35pt;width:45.35pt;" o:ole="t" filled="f" coordsize="21600,21600">
            <v:path/>
            <v:fill on="f" focussize="0,0"/>
            <v:stroke/>
            <v:imagedata r:id="rId127" o:title=""/>
            <o:lock v:ext="edit" aspectratio="t"/>
            <w10:wrap type="none"/>
            <w10:anchorlock/>
          </v:shape>
          <o:OLEObject Type="Embed" ProgID="Equation.AxMath" ShapeID="_x0000_i1085" DrawAspect="Content" ObjectID="_1468075784" r:id="rId126">
            <o:LockedField>false</o:LockedField>
          </o:OLEObject>
        </w:object>
      </w:r>
      <w:r>
        <w:rPr>
          <w:rFonts w:hint="eastAsia"/>
        </w:rPr>
        <w:t xml:space="preserve"> </w:t>
      </w:r>
      <w:r>
        <w:t>principles of CMOS circuits</w:t>
      </w:r>
      <w:r>
        <w:rPr>
          <w:rFonts w:hint="eastAsia"/>
        </w:rPr>
        <w:t>:</w:t>
      </w:r>
    </w:p>
    <w:p w14:paraId="3DFEE545">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7EF99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8" w:hRule="atLeast"/>
        </w:trPr>
        <w:tc>
          <w:tcPr>
            <w:tcW w:w="8580" w:type="dxa"/>
            <w:vAlign w:val="center"/>
          </w:tcPr>
          <w:p w14:paraId="17A2A583">
            <w:pPr>
              <w:tabs>
                <w:tab w:val="center" w:pos="4180"/>
                <w:tab w:val="right" w:pos="8360"/>
              </w:tabs>
              <w:adjustRightInd w:val="0"/>
              <w:snapToGrid w:val="0"/>
              <w:ind w:firstLine="0" w:firstLineChars="0"/>
            </w:pPr>
            <w:r>
              <w:tab/>
            </w:r>
            <w:r>
              <w:rPr>
                <w:position w:val="-10"/>
              </w:rPr>
              <w:object>
                <v:shape id="_x0000_i1086" o:spt="75" type="#_x0000_t75" style="height:16pt;width:173.35pt;" o:ole="t" filled="f" coordsize="21600,21600">
                  <v:path/>
                  <v:fill on="f" focussize="0,0"/>
                  <v:stroke/>
                  <v:imagedata r:id="rId129" o:title=""/>
                  <o:lock v:ext="edit" aspectratio="t"/>
                  <w10:wrap type="none"/>
                  <w10:anchorlock/>
                </v:shape>
                <o:OLEObject Type="Embed" ProgID="Equation.AxMath" ShapeID="_x0000_i1086" DrawAspect="Content" ObjectID="_1468075785" r:id="rId128">
                  <o:LockedField>false</o:LockedField>
                </o:OLEObject>
              </w:object>
            </w:r>
          </w:p>
        </w:tc>
        <w:tc>
          <w:tcPr>
            <w:tcW w:w="644" w:type="dxa"/>
            <w:vAlign w:val="center"/>
          </w:tcPr>
          <w:p w14:paraId="55B43F9F">
            <w:pPr>
              <w:adjustRightInd w:val="0"/>
              <w:snapToGrid w:val="0"/>
              <w:ind w:firstLine="0" w:firstLineChars="0"/>
              <w:jc w:val="center"/>
            </w:pPr>
            <w:r>
              <w:t>(</w:t>
            </w:r>
            <w:r>
              <w:fldChar w:fldCharType="begin"/>
            </w:r>
            <w:r>
              <w:instrText xml:space="preserve"> AUTONUM  \* Arabic </w:instrText>
            </w:r>
            <w:r>
              <w:fldChar w:fldCharType="end"/>
            </w:r>
            <w:r>
              <w:t>)</w:t>
            </w:r>
          </w:p>
        </w:tc>
      </w:tr>
    </w:tbl>
    <w:p w14:paraId="69562265">
      <w:pPr>
        <w:ind w:firstLine="480"/>
      </w:pPr>
    </w:p>
    <w:p w14:paraId="101F832F">
      <w:pPr>
        <w:ind w:firstLine="0" w:firstLineChars="0"/>
      </w:pPr>
      <w:r>
        <w:t xml:space="preserve">where is typically set </w:t>
      </w:r>
      <w:r>
        <w:rPr>
          <w:position w:val="-9"/>
        </w:rPr>
        <w:object>
          <v:shape id="_x0000_i1087" o:spt="75" type="#_x0000_t75" style="height:15.35pt;width:30.65pt;" o:ole="t" filled="f" coordsize="21600,21600">
            <v:path/>
            <v:fill on="f" focussize="0,0"/>
            <v:stroke/>
            <v:imagedata r:id="rId131" o:title=""/>
            <o:lock v:ext="edit" aspectratio="t"/>
            <w10:wrap type="none"/>
            <w10:anchorlock/>
          </v:shape>
          <o:OLEObject Type="Embed" ProgID="Equation.AxMath" ShapeID="_x0000_i1087" DrawAspect="Content" ObjectID="_1468075786" r:id="rId130">
            <o:LockedField>false</o:LockedField>
          </o:OLEObject>
        </w:object>
      </w:r>
    </w:p>
    <w:p w14:paraId="5CBCE42B">
      <w:pPr>
        <w:ind w:firstLine="0" w:firstLineChars="0"/>
      </w:pPr>
    </w:p>
    <w:p w14:paraId="3ADC3AEE">
      <w:pPr>
        <w:pStyle w:val="4"/>
      </w:pPr>
      <w:bookmarkStart w:id="22" w:name="_Toc19652"/>
      <w:r>
        <w:t>Improved Model for Network Communication Power Consumption</w:t>
      </w:r>
      <w:bookmarkEnd w:id="22"/>
    </w:p>
    <w:p w14:paraId="40966184">
      <w:pPr>
        <w:snapToGrid w:val="0"/>
        <w:ind w:firstLine="480"/>
      </w:pPr>
      <w:r>
        <w:t xml:space="preserve">The power consumption of </w:t>
      </w:r>
      <w:r>
        <w:rPr>
          <w:b/>
          <w:bCs/>
        </w:rPr>
        <w:t xml:space="preserve">mobile communication modules </w:t>
      </w:r>
      <w:r>
        <w:t xml:space="preserve">is often second only to that of the display and CPU. The energy expenditure of mobile communication modules exhibits a high degree of </w:t>
      </w:r>
      <w:r>
        <w:rPr>
          <w:b/>
          <w:bCs/>
        </w:rPr>
        <w:t>randomness and non-linearity</w:t>
      </w:r>
      <w:r>
        <w:t>. To accurately characterise this process in the continuous-time domain, this paper proposes a hybrid power consumption model incorporating signal sensitivity correction and continuous RRC tail state.</w:t>
      </w:r>
    </w:p>
    <w:p w14:paraId="51D3B189">
      <w:pPr>
        <w:snapToGrid w:val="0"/>
        <w:ind w:firstLine="480"/>
      </w:pPr>
      <w:r>
        <w:t>Signal quality is highly sensitive to power consumption</w:t>
      </w:r>
      <w:r>
        <w:rPr>
          <w:rFonts w:hint="eastAsia"/>
        </w:rPr>
        <w:t>,</w:t>
      </w:r>
      <w:r>
        <w:t xml:space="preserve"> When the channel quality </w:t>
      </w:r>
      <w:r>
        <w:rPr>
          <w:position w:val="-10"/>
        </w:rPr>
        <w:object>
          <v:shape id="_x0000_i1088" o:spt="75" type="#_x0000_t75" style="height:17.35pt;width:55.35pt;" o:ole="t" filled="f" coordsize="21600,21600">
            <v:path/>
            <v:fill on="f" focussize="0,0"/>
            <v:stroke/>
            <v:imagedata r:id="rId133" o:title=""/>
            <o:lock v:ext="edit" aspectratio="t"/>
            <w10:wrap type="none"/>
            <w10:anchorlock/>
          </v:shape>
          <o:OLEObject Type="Embed" ProgID="Equation.AxMath" ShapeID="_x0000_i1088" DrawAspect="Content" ObjectID="_1468075787" r:id="rId132">
            <o:LockedField>false</o:LockedField>
          </o:OLEObject>
        </w:object>
      </w:r>
      <w:r>
        <w:t xml:space="preserve"> remains degraded</w:t>
      </w:r>
      <w:r>
        <w:rPr>
          <w:rFonts w:hint="eastAsia"/>
          <w:lang w:eastAsia="zh-CN"/>
        </w:rPr>
        <w:t xml:space="preserve">, </w:t>
      </w:r>
      <w:r>
        <w:t>Radio frequency circuits actively increase transmission power to maintain connectivity, resulting in a sharp rise in power consumption. We describe this inverse relationship using the following formula:</w:t>
      </w:r>
    </w:p>
    <w:p w14:paraId="726B24D1">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1217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5619D3A4">
            <w:pPr>
              <w:tabs>
                <w:tab w:val="center" w:pos="4180"/>
                <w:tab w:val="right" w:pos="8360"/>
              </w:tabs>
              <w:adjustRightInd w:val="0"/>
              <w:snapToGrid w:val="0"/>
              <w:ind w:firstLine="0" w:firstLineChars="0"/>
            </w:pPr>
            <w:r>
              <w:tab/>
            </w:r>
            <w:r>
              <w:rPr>
                <w:position w:val="-27"/>
              </w:rPr>
              <w:object>
                <v:shape id="_x0000_i1089" o:spt="75" type="#_x0000_t75" style="height:32.65pt;width:106pt;" o:ole="t" filled="f" coordsize="21600,21600">
                  <v:path/>
                  <v:fill on="f" focussize="0,0"/>
                  <v:stroke/>
                  <v:imagedata r:id="rId135" o:title=""/>
                  <o:lock v:ext="edit" aspectratio="t"/>
                  <w10:wrap type="none"/>
                  <w10:anchorlock/>
                </v:shape>
                <o:OLEObject Type="Embed" ProgID="Equation.AxMath" ShapeID="_x0000_i1089" DrawAspect="Content" ObjectID="_1468075788" r:id="rId134">
                  <o:LockedField>false</o:LockedField>
                </o:OLEObject>
              </w:object>
            </w:r>
          </w:p>
        </w:tc>
        <w:tc>
          <w:tcPr>
            <w:tcW w:w="644" w:type="dxa"/>
            <w:vAlign w:val="center"/>
          </w:tcPr>
          <w:p w14:paraId="37D929B3">
            <w:pPr>
              <w:adjustRightInd w:val="0"/>
              <w:snapToGrid w:val="0"/>
              <w:ind w:firstLine="0" w:firstLineChars="0"/>
              <w:jc w:val="center"/>
            </w:pPr>
            <w:r>
              <w:t>(</w:t>
            </w:r>
            <w:r>
              <w:fldChar w:fldCharType="begin"/>
            </w:r>
            <w:r>
              <w:instrText xml:space="preserve"> AUTONUM  \* Arabic </w:instrText>
            </w:r>
            <w:r>
              <w:fldChar w:fldCharType="end"/>
            </w:r>
            <w:r>
              <w:t>)</w:t>
            </w:r>
          </w:p>
        </w:tc>
      </w:tr>
    </w:tbl>
    <w:p w14:paraId="6EC38671">
      <w:pPr>
        <w:snapToGrid w:val="0"/>
        <w:ind w:firstLine="0" w:firstLineChars="0"/>
      </w:pPr>
    </w:p>
    <w:p w14:paraId="22E8064F">
      <w:pPr>
        <w:snapToGrid w:val="0"/>
        <w:ind w:firstLine="0" w:firstLineChars="0"/>
      </w:pPr>
      <w:r>
        <w:rPr>
          <w:rFonts w:hint="eastAsia"/>
        </w:rPr>
        <w:t>where</w:t>
      </w:r>
      <w:r>
        <w:rPr>
          <w:position w:val="-10"/>
        </w:rPr>
        <w:object>
          <v:shape id="_x0000_i1090" o:spt="75" type="#_x0000_t75" style="height:16pt;width:28pt;" o:ole="t" filled="f" coordsize="21600,21600">
            <v:path/>
            <v:fill on="f" focussize="0,0"/>
            <v:stroke/>
            <v:imagedata r:id="rId137" o:title=""/>
            <o:lock v:ext="edit" aspectratio="t"/>
            <w10:wrap type="none"/>
            <w10:anchorlock/>
          </v:shape>
          <o:OLEObject Type="Embed" ProgID="Equation.AxMath" ShapeID="_x0000_i1090" DrawAspect="Content" ObjectID="_1468075789" r:id="rId136">
            <o:LockedField>false</o:LockedField>
          </o:OLEObject>
        </w:object>
      </w:r>
      <w:r>
        <w:rPr>
          <w:rFonts w:hint="eastAsia"/>
        </w:rPr>
        <w:t xml:space="preserve"> </w:t>
      </w:r>
      <w:r>
        <w:t>represents the current data throughput;</w:t>
      </w:r>
      <w:r>
        <w:rPr>
          <w:position w:val="-9"/>
        </w:rPr>
        <w:object>
          <v:shape id="_x0000_i1091" o:spt="75" type="#_x0000_t75" style="height:15.35pt;width:10pt;" o:ole="t" filled="f" coordsize="21600,21600">
            <v:path/>
            <v:fill on="f" focussize="0,0"/>
            <v:stroke/>
            <v:imagedata r:id="rId139" o:title=""/>
            <o:lock v:ext="edit" aspectratio="t"/>
            <w10:wrap type="none"/>
            <w10:anchorlock/>
          </v:shape>
          <o:OLEObject Type="Embed" ProgID="Equation.AxMath" ShapeID="_x0000_i1091" DrawAspect="Content" ObjectID="_1468075790" r:id="rId138">
            <o:LockedField>false</o:LockedField>
          </o:OLEObject>
        </w:object>
      </w:r>
      <w:r>
        <w:t xml:space="preserve"> </w:t>
      </w:r>
      <w:r>
        <w:rPr>
          <w:rFonts w:hint="eastAsia"/>
        </w:rPr>
        <w:t xml:space="preserve">is the </w:t>
      </w:r>
      <w:r>
        <w:t>Path loss sensitivity coefficient.</w:t>
      </w:r>
    </w:p>
    <w:p w14:paraId="44FB196D">
      <w:pPr>
        <w:snapToGrid w:val="0"/>
        <w:ind w:firstLine="480"/>
      </w:pPr>
    </w:p>
    <w:p w14:paraId="15D3A600">
      <w:pPr>
        <w:snapToGrid w:val="0"/>
        <w:ind w:firstLine="480"/>
      </w:pPr>
      <w:r>
        <w:t xml:space="preserve">Cellular networks employ the Radio Resource Control (RRC) protocol, whose state transitions are typically modelled as discrete-event systems. To this end, this paper proposes a novel continuous state variable approach. </w:t>
      </w:r>
      <w:r>
        <w:rPr>
          <w:b/>
          <w:bCs/>
          <w:position w:val="-10"/>
        </w:rPr>
        <w:object>
          <v:shape id="_x0000_i1092" o:spt="75" type="#_x0000_t75" style="height:17.35pt;width:71.35pt;" o:ole="t" filled="f" coordsize="21600,21600">
            <v:path/>
            <v:fill on="f" focussize="0,0"/>
            <v:stroke/>
            <v:imagedata r:id="rId141" o:title=""/>
            <o:lock v:ext="edit" aspectratio="t"/>
            <w10:wrap type="none"/>
            <w10:anchorlock/>
          </v:shape>
          <o:OLEObject Type="Embed" ProgID="Equation.AxMath" ShapeID="_x0000_i1092" DrawAspect="Content" ObjectID="_1468075791" r:id="rId140">
            <o:LockedField>false</o:LockedField>
          </o:OLEObject>
        </w:object>
      </w:r>
      <w:r>
        <w:rPr>
          <w:rFonts w:hint="eastAsia"/>
        </w:rPr>
        <w:t>:</w:t>
      </w:r>
    </w:p>
    <w:p w14:paraId="58202B4C">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7D0FC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49F9915F">
            <w:pPr>
              <w:tabs>
                <w:tab w:val="center" w:pos="4180"/>
                <w:tab w:val="right" w:pos="8360"/>
              </w:tabs>
              <w:adjustRightInd w:val="0"/>
              <w:snapToGrid w:val="0"/>
              <w:ind w:firstLine="0" w:firstLineChars="0"/>
            </w:pPr>
            <w:r>
              <w:tab/>
            </w:r>
            <w:r>
              <w:rPr>
                <w:position w:val="-62"/>
              </w:rPr>
              <w:object>
                <v:shape id="_x0000_i1093" o:spt="75" type="#_x0000_t75" style="height:69.35pt;width:220pt;" o:ole="t" filled="f" coordsize="21600,21600">
                  <v:path/>
                  <v:fill on="f" focussize="0,0"/>
                  <v:stroke/>
                  <v:imagedata r:id="rId143" o:title=""/>
                  <o:lock v:ext="edit" aspectratio="t"/>
                  <w10:wrap type="none"/>
                  <w10:anchorlock/>
                </v:shape>
                <o:OLEObject Type="Embed" ProgID="Equation.AxMath" ShapeID="_x0000_i1093" DrawAspect="Content" ObjectID="_1468075792" r:id="rId142">
                  <o:LockedField>false</o:LockedField>
                </o:OLEObject>
              </w:object>
            </w:r>
          </w:p>
        </w:tc>
        <w:tc>
          <w:tcPr>
            <w:tcW w:w="644" w:type="dxa"/>
            <w:vAlign w:val="center"/>
          </w:tcPr>
          <w:p w14:paraId="064AC261">
            <w:pPr>
              <w:adjustRightInd w:val="0"/>
              <w:snapToGrid w:val="0"/>
              <w:ind w:firstLine="0" w:firstLineChars="0"/>
              <w:jc w:val="center"/>
            </w:pPr>
            <w:r>
              <w:t>(</w:t>
            </w:r>
            <w:r>
              <w:fldChar w:fldCharType="begin"/>
            </w:r>
            <w:r>
              <w:instrText xml:space="preserve"> AUTONUM  \* Arabic </w:instrText>
            </w:r>
            <w:r>
              <w:fldChar w:fldCharType="end"/>
            </w:r>
            <w:r>
              <w:t>)</w:t>
            </w:r>
          </w:p>
        </w:tc>
      </w:tr>
    </w:tbl>
    <w:p w14:paraId="6C18A781">
      <w:pPr>
        <w:ind w:firstLine="0" w:firstLineChars="0"/>
      </w:pPr>
    </w:p>
    <w:p w14:paraId="37616067">
      <w:pPr>
        <w:snapToGrid w:val="0"/>
        <w:ind w:firstLine="0" w:firstLineChars="0"/>
        <w:rPr>
          <w:b/>
          <w:bCs/>
        </w:rPr>
      </w:pPr>
      <w:r>
        <w:rPr>
          <w:rFonts w:hint="eastAsia"/>
        </w:rPr>
        <w:t xml:space="preserve">where </w:t>
      </w:r>
      <w:r>
        <w:rPr>
          <w:position w:val="-11"/>
        </w:rPr>
        <w:object>
          <v:shape id="_x0000_i1094" o:spt="75" type="#_x0000_t75" style="height:16.65pt;width:47.35pt;" o:ole="t" filled="f" coordsize="21600,21600">
            <v:path/>
            <v:fill on="f" focussize="0,0"/>
            <v:stroke/>
            <v:imagedata r:id="rId145" o:title=""/>
            <o:lock v:ext="edit" aspectratio="t"/>
            <w10:wrap type="none"/>
            <w10:anchorlock/>
          </v:shape>
          <o:OLEObject Type="Embed" ProgID="Equation.AxMath" ShapeID="_x0000_i1094" DrawAspect="Content" ObjectID="_1468075793" r:id="rId144">
            <o:LockedField>false</o:LockedField>
          </o:OLEObject>
        </w:object>
      </w:r>
      <w:r>
        <w:t xml:space="preserve"> Tends towards 1 when data is present, otherwise tends towards 0;</w:t>
      </w:r>
      <w:r>
        <w:rPr>
          <w:position w:val="-9"/>
        </w:rPr>
        <w:object>
          <v:shape id="_x0000_i1095" o:spt="75" type="#_x0000_t75" style="height:15.35pt;width:10pt;" o:ole="t" filled="f" coordsize="21600,21600">
            <v:path/>
            <v:fill on="f" focussize="0,0"/>
            <v:stroke/>
            <v:imagedata r:id="rId147" o:title=""/>
            <o:lock v:ext="edit" aspectratio="t"/>
            <w10:wrap type="none"/>
            <w10:anchorlock/>
          </v:shape>
          <o:OLEObject Type="Embed" ProgID="Equation.AxMath" ShapeID="_x0000_i1095" DrawAspect="Content" ObjectID="_1468075794" r:id="rId146">
            <o:LockedField>false</o:LockedField>
          </o:OLEObject>
        </w:object>
      </w:r>
      <w:r>
        <w:t xml:space="preserve"> As a time constant, the asymmetric design captures the </w:t>
      </w:r>
      <w:r>
        <w:rPr>
          <w:b/>
          <w:bCs/>
        </w:rPr>
        <w:t>'energy tailing</w:t>
      </w:r>
      <w:r>
        <w:t xml:space="preserve">' phenomenon: upon data request, the RF module instantly </w:t>
      </w:r>
      <w:r>
        <w:rPr>
          <w:b/>
          <w:bCs/>
        </w:rPr>
        <w:t>wakes up and rapidly</w:t>
      </w:r>
      <w:r>
        <w:t xml:space="preserve"> transitions to 1. After transmission concludes, the module does not shut down immediately but</w:t>
      </w:r>
      <w:r>
        <w:rPr>
          <w:b/>
          <w:bCs/>
        </w:rPr>
        <w:t xml:space="preserve"> gradually decays to 0.</w:t>
      </w:r>
    </w:p>
    <w:p w14:paraId="018A866B">
      <w:pPr>
        <w:ind w:firstLine="480"/>
      </w:pPr>
      <w:r>
        <w:t>Combining static maintenance power consumption, dynamic power consumption during data transmission, and tail state power consumption, the</w:t>
      </w:r>
      <w:r>
        <w:rPr>
          <w:b/>
          <w:bCs/>
        </w:rPr>
        <w:t xml:space="preserve"> final network communication power is modelled</w:t>
      </w:r>
      <w:r>
        <w:t xml:space="preserve"> as:</w:t>
      </w:r>
    </w:p>
    <w:p w14:paraId="3300E8E9">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4C111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6F732E1A">
            <w:pPr>
              <w:tabs>
                <w:tab w:val="center" w:pos="4180"/>
                <w:tab w:val="right" w:pos="8360"/>
              </w:tabs>
              <w:adjustRightInd w:val="0"/>
              <w:snapToGrid w:val="0"/>
              <w:ind w:firstLine="0" w:firstLineChars="0"/>
            </w:pPr>
            <w:r>
              <w:tab/>
            </w:r>
            <w:r>
              <w:rPr>
                <w:position w:val="-27"/>
              </w:rPr>
              <w:object>
                <v:shape id="_x0000_i1096" o:spt="75" type="#_x0000_t75" style="height:32.65pt;width:231.35pt;" o:ole="t" filled="f" coordsize="21600,21600">
                  <v:path/>
                  <v:fill on="f" focussize="0,0"/>
                  <v:stroke/>
                  <v:imagedata r:id="rId149" o:title=""/>
                  <o:lock v:ext="edit" aspectratio="t"/>
                  <w10:wrap type="none"/>
                  <w10:anchorlock/>
                </v:shape>
                <o:OLEObject Type="Embed" ProgID="Equation.AxMath" ShapeID="_x0000_i1096" DrawAspect="Content" ObjectID="_1468075795" r:id="rId148">
                  <o:LockedField>false</o:LockedField>
                </o:OLEObject>
              </w:object>
            </w:r>
          </w:p>
        </w:tc>
        <w:tc>
          <w:tcPr>
            <w:tcW w:w="644" w:type="dxa"/>
            <w:vAlign w:val="center"/>
          </w:tcPr>
          <w:p w14:paraId="30BC8A44">
            <w:pPr>
              <w:adjustRightInd w:val="0"/>
              <w:snapToGrid w:val="0"/>
              <w:ind w:firstLine="0" w:firstLineChars="0"/>
              <w:jc w:val="center"/>
            </w:pPr>
            <w:r>
              <w:t>(</w:t>
            </w:r>
            <w:r>
              <w:fldChar w:fldCharType="begin"/>
            </w:r>
            <w:r>
              <w:instrText xml:space="preserve"> AUTONUM  \* Arabic </w:instrText>
            </w:r>
            <w:r>
              <w:fldChar w:fldCharType="end"/>
            </w:r>
            <w:r>
              <w:t>)</w:t>
            </w:r>
          </w:p>
        </w:tc>
      </w:tr>
    </w:tbl>
    <w:p w14:paraId="56A334CA">
      <w:pPr>
        <w:ind w:firstLine="480"/>
      </w:pPr>
    </w:p>
    <w:p w14:paraId="647074FF">
      <w:pPr>
        <w:ind w:firstLine="480"/>
        <w:rPr>
          <w:b/>
          <w:bCs/>
        </w:rPr>
      </w:pPr>
      <w:r>
        <w:t xml:space="preserve">This model not only quantifies the direct energy consumption of data throughput and signal environment, but also precisely captures the "long-tail" energy wastage triggered by frequent small packet data transmission through its </w:t>
      </w:r>
      <w:r>
        <w:rPr>
          <w:position w:val="-10"/>
        </w:rPr>
        <w:object>
          <v:shape id="_x0000_i1097" o:spt="75" type="#_x0000_t75" style="height:16pt;width:44.65pt;" o:ole="t" filled="f" coordsize="21600,21600">
            <v:path/>
            <v:fill on="f" focussize="0,0"/>
            <v:stroke/>
            <v:imagedata r:id="rId151" o:title=""/>
            <o:lock v:ext="edit" aspectratio="t"/>
            <w10:wrap type="none"/>
            <w10:anchorlock/>
          </v:shape>
          <o:OLEObject Type="Embed" ProgID="Equation.AxMath" ShapeID="_x0000_i1097" DrawAspect="Content" ObjectID="_1468075796" r:id="rId150">
            <o:LockedField>false</o:LockedField>
          </o:OLEObject>
        </w:object>
      </w:r>
      <w:r>
        <w:rPr>
          <w:rFonts w:hint="eastAsia"/>
        </w:rPr>
        <w:t xml:space="preserve"> </w:t>
      </w:r>
      <w:r>
        <w:t xml:space="preserve">components. </w:t>
      </w:r>
      <w:r>
        <w:rPr>
          <w:b/>
          <w:bCs/>
        </w:rPr>
        <w:t>Significantly enhanced the model's estimation accuracy under fragmented network conditions.</w:t>
      </w:r>
    </w:p>
    <w:p w14:paraId="26E7FCC0">
      <w:pPr>
        <w:ind w:firstLine="482"/>
        <w:rPr>
          <w:b/>
          <w:bCs/>
        </w:rPr>
      </w:pPr>
    </w:p>
    <w:p w14:paraId="48DCE5FA">
      <w:pPr>
        <w:ind w:firstLine="480"/>
        <w:rPr>
          <w:rFonts w:hint="eastAsia"/>
          <w:vertAlign w:val="superscript"/>
        </w:rPr>
      </w:pPr>
      <w:r>
        <w:rPr>
          <w:rFonts w:hint="eastAsia"/>
        </w:rPr>
        <w:t xml:space="preserve">In addition, GPS </w:t>
      </w:r>
      <w:r>
        <w:t>component</w:t>
      </w:r>
      <w:r>
        <w:rPr>
          <w:rFonts w:hint="eastAsia"/>
        </w:rPr>
        <w:t xml:space="preserve"> is s</w:t>
      </w:r>
      <w:r>
        <w:t>ignificantly</w:t>
      </w:r>
      <w:r>
        <w:rPr>
          <w:b/>
          <w:bCs/>
        </w:rPr>
        <w:t xml:space="preserve"> different from </w:t>
      </w:r>
      <w:r>
        <w:t xml:space="preserve">traditional power consumption sources </w:t>
      </w:r>
      <w:r>
        <w:rPr>
          <w:rFonts w:hint="eastAsia"/>
        </w:rPr>
        <w:t>.</w:t>
      </w:r>
      <w:r>
        <w:t xml:space="preserve"> The GPS module operates in a </w:t>
      </w:r>
      <w:r>
        <w:rPr>
          <w:b/>
          <w:bCs/>
        </w:rPr>
        <w:t>binary "standby - active" mode</w:t>
      </w:r>
      <w:r>
        <w:rPr>
          <w:rFonts w:hint="eastAsia"/>
          <w:b/>
          <w:bCs/>
        </w:rPr>
        <w:t>:</w:t>
      </w:r>
      <w:r>
        <w:rPr>
          <w:rFonts w:hint="eastAsia"/>
          <w:b/>
          <w:bCs/>
          <w:vertAlign w:val="superscript"/>
        </w:rPr>
        <w:t>[10]</w:t>
      </w:r>
    </w:p>
    <w:p w14:paraId="119EA229">
      <w:pPr>
        <w:ind w:firstLine="480"/>
        <w:rPr>
          <w:color w:val="FF0000"/>
        </w:rPr>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667DA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4B5C4A71">
            <w:pPr>
              <w:tabs>
                <w:tab w:val="center" w:pos="4180"/>
                <w:tab w:val="right" w:pos="8360"/>
              </w:tabs>
              <w:adjustRightInd w:val="0"/>
              <w:snapToGrid w:val="0"/>
              <w:ind w:firstLine="0" w:firstLineChars="0"/>
            </w:pPr>
            <w:r>
              <w:tab/>
            </w:r>
            <w:r>
              <w:rPr>
                <w:position w:val="-10"/>
              </w:rPr>
              <w:object>
                <v:shape id="_x0000_i1098" o:spt="75" type="#_x0000_t75" style="height:16pt;width:150.65pt;" o:ole="t" filled="f" coordsize="21600,21600">
                  <v:path/>
                  <v:fill on="f" focussize="0,0"/>
                  <v:stroke/>
                  <v:imagedata r:id="rId153" o:title=""/>
                  <o:lock v:ext="edit" aspectratio="t"/>
                  <w10:wrap type="none"/>
                  <w10:anchorlock/>
                </v:shape>
                <o:OLEObject Type="Embed" ProgID="Equation.AxMath" ShapeID="_x0000_i1098" DrawAspect="Content" ObjectID="_1468075797" r:id="rId152">
                  <o:LockedField>false</o:LockedField>
                </o:OLEObject>
              </w:object>
            </w:r>
          </w:p>
        </w:tc>
        <w:tc>
          <w:tcPr>
            <w:tcW w:w="644" w:type="dxa"/>
            <w:vAlign w:val="center"/>
          </w:tcPr>
          <w:p w14:paraId="2EA0B648">
            <w:pPr>
              <w:adjustRightInd w:val="0"/>
              <w:snapToGrid w:val="0"/>
              <w:ind w:firstLine="0" w:firstLineChars="0"/>
              <w:jc w:val="center"/>
            </w:pPr>
            <w:r>
              <w:t>(</w:t>
            </w:r>
            <w:r>
              <w:fldChar w:fldCharType="begin"/>
            </w:r>
            <w:r>
              <w:instrText xml:space="preserve"> AUTONUM  \* Arabic </w:instrText>
            </w:r>
            <w:r>
              <w:fldChar w:fldCharType="end"/>
            </w:r>
            <w:r>
              <w:t>)</w:t>
            </w:r>
          </w:p>
        </w:tc>
      </w:tr>
    </w:tbl>
    <w:p w14:paraId="35B4025A">
      <w:pPr>
        <w:ind w:firstLine="480"/>
        <w:rPr>
          <w:color w:val="FF0000"/>
        </w:rPr>
      </w:pPr>
    </w:p>
    <w:p w14:paraId="1E8FC99E">
      <w:pPr>
        <w:snapToGrid w:val="0"/>
        <w:ind w:firstLine="0" w:firstLineChars="0"/>
      </w:pPr>
      <w:r>
        <w:rPr>
          <w:rFonts w:hint="eastAsia"/>
        </w:rPr>
        <w:t xml:space="preserve">where </w:t>
      </w:r>
      <w:r>
        <w:t>The first term represents standby power, while the second term represents linear power after start-up</w:t>
      </w:r>
      <w:r>
        <w:rPr>
          <w:rFonts w:hint="eastAsia"/>
          <w:lang w:eastAsia="zh-CN"/>
        </w:rPr>
        <w:t xml:space="preserve">, </w:t>
      </w:r>
      <w:r>
        <w:rPr>
          <w:position w:val="-10"/>
        </w:rPr>
        <w:object>
          <v:shape id="_x0000_i1099" o:spt="75" type="#_x0000_t75" style="height:16pt;width:72pt;" o:ole="t" filled="f" coordsize="21600,21600">
            <v:path/>
            <v:fill on="f" focussize="0,0"/>
            <v:stroke/>
            <v:imagedata r:id="rId155" o:title=""/>
            <o:lock v:ext="edit" aspectratio="t"/>
            <w10:wrap type="none"/>
            <w10:anchorlock/>
          </v:shape>
          <o:OLEObject Type="Embed" ProgID="Equation.AxMath" ShapeID="_x0000_i1099" DrawAspect="Content" ObjectID="_1468075798" r:id="rId154">
            <o:LockedField>false</o:LockedField>
          </o:OLEObject>
        </w:object>
      </w:r>
      <w:r>
        <w:t xml:space="preserve"> Indicates the strength of the GPS working coefficient.</w:t>
      </w:r>
    </w:p>
    <w:p w14:paraId="6E05F808">
      <w:pPr>
        <w:pStyle w:val="3"/>
        <w:spacing w:after="163"/>
        <w:rPr>
          <w:rStyle w:val="57"/>
          <w:rFonts w:ascii="Arial" w:hAnsi="Arial" w:cs="Arial"/>
          <w:color w:val="1A1C1E"/>
        </w:rPr>
      </w:pPr>
      <w:bookmarkStart w:id="23" w:name="_Toc1914"/>
      <w:r>
        <w:rPr>
          <w:rFonts w:hint="eastAsia"/>
        </w:rPr>
        <w:t xml:space="preserve">CPL </w:t>
      </w:r>
      <w:r>
        <w:rPr>
          <w:rStyle w:val="57"/>
          <w:rFonts w:ascii="Arial" w:hAnsi="Arial" w:cs="Arial"/>
          <w:color w:val="1A1C1E"/>
        </w:rPr>
        <w:t>Closure</w:t>
      </w:r>
      <w:r>
        <w:rPr>
          <w:rStyle w:val="57"/>
          <w:rFonts w:hint="eastAsia" w:ascii="Arial" w:hAnsi="Arial" w:cs="Arial"/>
          <w:color w:val="1A1C1E"/>
        </w:rPr>
        <w:t xml:space="preserve"> and </w:t>
      </w:r>
      <w:r>
        <w:rPr>
          <w:rStyle w:val="57"/>
          <w:rFonts w:ascii="Arial" w:hAnsi="Arial" w:cs="Arial"/>
          <w:color w:val="1A1C1E"/>
        </w:rPr>
        <w:t>Current model solution</w:t>
      </w:r>
      <w:r>
        <w:rPr>
          <w:rStyle w:val="57"/>
          <w:rFonts w:hint="eastAsia" w:ascii="Arial" w:hAnsi="Arial" w:cs="Arial"/>
          <w:color w:val="1A1C1E"/>
          <w:lang w:eastAsia="zh-CN"/>
        </w:rPr>
        <w:t>(</w:t>
      </w:r>
      <w:r>
        <w:rPr>
          <w:rFonts w:ascii="Arial" w:hAnsi="Arial" w:cs="Arial"/>
          <w:color w:val="1A1C1E"/>
        </w:rPr>
        <w:t>Voltage Collapse</w:t>
      </w:r>
      <w:r>
        <w:rPr>
          <w:rStyle w:val="57"/>
          <w:rFonts w:hint="eastAsia" w:ascii="Arial" w:hAnsi="Arial" w:cs="Arial"/>
          <w:color w:val="1A1C1E"/>
          <w:lang w:eastAsia="zh-CN"/>
        </w:rPr>
        <w:t>)</w:t>
      </w:r>
      <w:bookmarkEnd w:id="23"/>
    </w:p>
    <w:p w14:paraId="7EB80F20">
      <w:pPr>
        <w:pStyle w:val="4"/>
      </w:pPr>
      <w:r>
        <w:rPr>
          <w:rFonts w:hint="eastAsia"/>
        </w:rPr>
        <w:t xml:space="preserve"> </w:t>
      </w:r>
      <w:bookmarkStart w:id="24" w:name="_Toc26920"/>
      <w:r>
        <w:t>The Constant Power Load Constraint</w:t>
      </w:r>
      <w:bookmarkEnd w:id="24"/>
    </w:p>
    <w:p w14:paraId="529B01C3">
      <w:pPr>
        <w:snapToGrid w:val="0"/>
        <w:ind w:firstLine="480"/>
      </w:pPr>
    </w:p>
    <w:p w14:paraId="4BE20C99">
      <w:pPr>
        <w:snapToGrid w:val="0"/>
        <w:ind w:firstLine="480"/>
      </w:pPr>
      <w:r>
        <w:t>The two models described above respectively characterise the battery's</w:t>
      </w:r>
      <w:r>
        <w:rPr>
          <w:b/>
          <w:bCs/>
        </w:rPr>
        <w:t xml:space="preserve"> power supply capacity</w:t>
      </w:r>
      <w:r>
        <w:t xml:space="preserve"> and</w:t>
      </w:r>
      <w:r>
        <w:rPr>
          <w:b/>
          <w:bCs/>
        </w:rPr>
        <w:t xml:space="preserve"> the power consumption</w:t>
      </w:r>
      <w:r>
        <w:t xml:space="preserve"> requirements of each component. This section aims to couple the two models by employing</w:t>
      </w:r>
      <w:r>
        <w:rPr>
          <w:b/>
          <w:bCs/>
        </w:rPr>
        <w:t xml:space="preserve"> physical constraints centred on CPL.</w:t>
      </w:r>
      <w:r>
        <w:t xml:space="preserve"> By applying Ohm's law </w:t>
      </w:r>
      <w:r>
        <w:rPr>
          <w:position w:val="-9"/>
        </w:rPr>
        <w:object>
          <v:shape id="_x0000_i1100" o:spt="75" type="#_x0000_t75" style="height:15.35pt;width:54.65pt;" o:ole="t" filled="f" coordsize="21600,21600">
            <v:path/>
            <v:fill on="f" focussize="0,0"/>
            <v:stroke/>
            <v:imagedata r:id="rId157" o:title=""/>
            <o:lock v:ext="edit" aspectratio="t"/>
            <w10:wrap type="none"/>
            <w10:anchorlock/>
          </v:shape>
          <o:OLEObject Type="Embed" ProgID="Equation.AxMath" ShapeID="_x0000_i1100" DrawAspect="Content" ObjectID="_1468075799" r:id="rId156">
            <o:LockedField>false</o:LockedField>
          </o:OLEObject>
        </w:object>
      </w:r>
      <w:bookmarkStart w:id="25" w:name="_Toc58505782"/>
      <w:bookmarkStart w:id="26" w:name="_Hlk58269852"/>
      <w:r>
        <w:t xml:space="preserve"> to determine the instantaneous current, the entire system of differential algebraic equations is closed.</w:t>
      </w:r>
    </w:p>
    <w:p w14:paraId="6620017B">
      <w:pPr>
        <w:snapToGrid w:val="0"/>
        <w:ind w:firstLine="480"/>
      </w:pPr>
      <w:r>
        <w:t xml:space="preserve">Smartphones differ from traditional resistive loads in that the PMIC dynamically adjusts current to ensure downstream components receive </w:t>
      </w:r>
      <w:r>
        <w:rPr>
          <w:b/>
          <w:bCs/>
        </w:rPr>
        <w:t>constant power.</w:t>
      </w:r>
      <w:r>
        <w:t xml:space="preserve"> Consequently, the battery is constrained by a constant power load (CPL):</w:t>
      </w:r>
    </w:p>
    <w:p w14:paraId="353AAAF0">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7E9B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1D668246">
            <w:pPr>
              <w:tabs>
                <w:tab w:val="center" w:pos="4180"/>
                <w:tab w:val="right" w:pos="8360"/>
              </w:tabs>
              <w:adjustRightInd w:val="0"/>
              <w:snapToGrid w:val="0"/>
              <w:ind w:firstLine="0" w:firstLineChars="0"/>
            </w:pPr>
            <w:r>
              <w:tab/>
            </w:r>
            <w:r>
              <w:rPr>
                <w:position w:val="-10"/>
              </w:rPr>
              <w:object>
                <v:shape id="_x0000_i1101" o:spt="75" type="#_x0000_t75" style="height:16pt;width:123.35pt;" o:ole="t" filled="f" coordsize="21600,21600">
                  <v:path/>
                  <v:fill on="f" focussize="0,0"/>
                  <v:stroke/>
                  <v:imagedata r:id="rId159" o:title=""/>
                  <o:lock v:ext="edit" aspectratio="t"/>
                  <w10:wrap type="none"/>
                  <w10:anchorlock/>
                </v:shape>
                <o:OLEObject Type="Embed" ProgID="Equation.AxMath" ShapeID="_x0000_i1101" DrawAspect="Content" ObjectID="_1468075800" r:id="rId158">
                  <o:LockedField>false</o:LockedField>
                </o:OLEObject>
              </w:object>
            </w:r>
          </w:p>
        </w:tc>
        <w:tc>
          <w:tcPr>
            <w:tcW w:w="644" w:type="dxa"/>
            <w:vAlign w:val="center"/>
          </w:tcPr>
          <w:p w14:paraId="00A07D0B">
            <w:pPr>
              <w:adjustRightInd w:val="0"/>
              <w:snapToGrid w:val="0"/>
              <w:ind w:firstLine="0" w:firstLineChars="0"/>
              <w:jc w:val="center"/>
            </w:pPr>
            <w:r>
              <w:t>(</w:t>
            </w:r>
            <w:r>
              <w:fldChar w:fldCharType="begin"/>
            </w:r>
            <w:r>
              <w:instrText xml:space="preserve"> AUTONUM  \* Arabic </w:instrText>
            </w:r>
            <w:r>
              <w:fldChar w:fldCharType="end"/>
            </w:r>
            <w:r>
              <w:t>)</w:t>
            </w:r>
          </w:p>
        </w:tc>
      </w:tr>
    </w:tbl>
    <w:p w14:paraId="6FE90559">
      <w:pPr>
        <w:snapToGrid w:val="0"/>
        <w:ind w:firstLine="480"/>
      </w:pPr>
    </w:p>
    <w:p w14:paraId="5165728A">
      <w:pPr>
        <w:pStyle w:val="4"/>
      </w:pPr>
      <w:bookmarkStart w:id="27" w:name="_Toc20829"/>
      <w:r>
        <w:t>Analytical Solution</w:t>
      </w:r>
      <w:r>
        <w:rPr>
          <w:rFonts w:hint="eastAsia"/>
        </w:rPr>
        <w:t xml:space="preserve"> and </w:t>
      </w:r>
      <w:r>
        <w:t>Discriminant Analysis</w:t>
      </w:r>
      <w:bookmarkEnd w:id="27"/>
    </w:p>
    <w:p w14:paraId="75C4709E">
      <w:pPr>
        <w:snapToGrid w:val="0"/>
        <w:ind w:firstLine="480"/>
      </w:pPr>
      <w:r>
        <w:t xml:space="preserve">To solve </w:t>
      </w:r>
      <w:r>
        <w:rPr>
          <w:position w:val="-10"/>
        </w:rPr>
        <w:object>
          <v:shape id="_x0000_i1102" o:spt="75" type="#_x0000_t75" style="height:16pt;width:24pt;" o:ole="t" filled="f" coordsize="21600,21600">
            <v:path/>
            <v:fill on="f" focussize="0,0"/>
            <v:stroke/>
            <v:imagedata r:id="rId37" o:title=""/>
            <o:lock v:ext="edit" aspectratio="t"/>
            <w10:wrap type="none"/>
            <w10:anchorlock/>
          </v:shape>
          <o:OLEObject Type="Embed" ProgID="Equation.AxMath" ShapeID="_x0000_i1102" DrawAspect="Content" ObjectID="_1468075801" r:id="rId160">
            <o:LockedField>false</o:LockedField>
          </o:OLEObject>
        </w:object>
      </w:r>
      <w:r>
        <w:rPr>
          <w:rFonts w:hint="eastAsia"/>
          <w:lang w:eastAsia="zh-CN"/>
        </w:rPr>
        <w:t xml:space="preserve">, </w:t>
      </w:r>
      <w:r>
        <w:t>Substituting the terminal voltage equation yields:</w:t>
      </w:r>
    </w:p>
    <w:p w14:paraId="588FE382">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6E5CD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58DEA89F">
            <w:pPr>
              <w:tabs>
                <w:tab w:val="center" w:pos="4180"/>
                <w:tab w:val="right" w:pos="8360"/>
              </w:tabs>
              <w:adjustRightInd w:val="0"/>
              <w:snapToGrid w:val="0"/>
              <w:ind w:firstLine="0" w:firstLineChars="0"/>
            </w:pPr>
            <w:r>
              <w:tab/>
            </w:r>
            <w:r>
              <w:rPr>
                <w:position w:val="-11"/>
              </w:rPr>
              <w:object>
                <v:shape id="_x0000_i1103" o:spt="75" type="#_x0000_t75" style="height:16.65pt;width:295.35pt;" o:ole="t" filled="f" coordsize="21600,21600">
                  <v:path/>
                  <v:fill on="f" focussize="0,0"/>
                  <v:stroke/>
                  <v:imagedata r:id="rId162" o:title=""/>
                  <o:lock v:ext="edit" aspectratio="t"/>
                  <w10:wrap type="none"/>
                  <w10:anchorlock/>
                </v:shape>
                <o:OLEObject Type="Embed" ProgID="Equation.AxMath" ShapeID="_x0000_i1103" DrawAspect="Content" ObjectID="_1468075802" r:id="rId161">
                  <o:LockedField>false</o:LockedField>
                </o:OLEObject>
              </w:object>
            </w:r>
          </w:p>
        </w:tc>
        <w:tc>
          <w:tcPr>
            <w:tcW w:w="644" w:type="dxa"/>
            <w:vAlign w:val="center"/>
          </w:tcPr>
          <w:p w14:paraId="70F7D2BF">
            <w:pPr>
              <w:adjustRightInd w:val="0"/>
              <w:snapToGrid w:val="0"/>
              <w:ind w:firstLine="0" w:firstLineChars="0"/>
              <w:jc w:val="center"/>
            </w:pPr>
            <w:r>
              <w:t>(</w:t>
            </w:r>
            <w:r>
              <w:fldChar w:fldCharType="begin"/>
            </w:r>
            <w:r>
              <w:instrText xml:space="preserve"> AUTONUM  \* Arabic </w:instrText>
            </w:r>
            <w:r>
              <w:fldChar w:fldCharType="end"/>
            </w:r>
            <w:r>
              <w:t>)</w:t>
            </w:r>
          </w:p>
        </w:tc>
      </w:tr>
    </w:tbl>
    <w:p w14:paraId="4710397B">
      <w:pPr>
        <w:snapToGrid w:val="0"/>
        <w:ind w:firstLine="480"/>
      </w:pPr>
    </w:p>
    <w:p w14:paraId="044C085E">
      <w:pPr>
        <w:snapToGrid w:val="0"/>
        <w:ind w:firstLine="480"/>
      </w:pPr>
      <w:r>
        <w:t>According to the quadratic formula, the solution to this equation under the constraint is:</w:t>
      </w:r>
    </w:p>
    <w:p w14:paraId="305E2838">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05905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574944C0">
            <w:pPr>
              <w:tabs>
                <w:tab w:val="center" w:pos="4180"/>
                <w:tab w:val="right" w:pos="8360"/>
              </w:tabs>
              <w:adjustRightInd w:val="0"/>
              <w:snapToGrid w:val="0"/>
              <w:ind w:firstLine="0" w:firstLineChars="0"/>
            </w:pPr>
            <w:r>
              <w:tab/>
            </w:r>
            <w:r>
              <w:rPr>
                <w:position w:val="-26"/>
              </w:rPr>
              <w:object>
                <v:shape id="_x0000_i1104" o:spt="75" type="#_x0000_t75" style="height:36pt;width:184pt;" o:ole="t" filled="f" coordsize="21600,21600">
                  <v:path/>
                  <v:fill on="f" focussize="0,0"/>
                  <v:stroke/>
                  <v:imagedata r:id="rId164" o:title=""/>
                  <o:lock v:ext="edit" aspectratio="t"/>
                  <w10:wrap type="none"/>
                  <w10:anchorlock/>
                </v:shape>
                <o:OLEObject Type="Embed" ProgID="Equation.AxMath" ShapeID="_x0000_i1104" DrawAspect="Content" ObjectID="_1468075803" r:id="rId163">
                  <o:LockedField>false</o:LockedField>
                </o:OLEObject>
              </w:object>
            </w:r>
          </w:p>
        </w:tc>
        <w:tc>
          <w:tcPr>
            <w:tcW w:w="644" w:type="dxa"/>
            <w:vAlign w:val="center"/>
          </w:tcPr>
          <w:p w14:paraId="30DF6772">
            <w:pPr>
              <w:adjustRightInd w:val="0"/>
              <w:snapToGrid w:val="0"/>
              <w:ind w:firstLine="0" w:firstLineChars="0"/>
              <w:jc w:val="center"/>
            </w:pPr>
            <w:r>
              <w:t>(</w:t>
            </w:r>
            <w:r>
              <w:fldChar w:fldCharType="begin"/>
            </w:r>
            <w:r>
              <w:instrText xml:space="preserve"> AUTONUM  \* Arabic </w:instrText>
            </w:r>
            <w:r>
              <w:fldChar w:fldCharType="end"/>
            </w:r>
            <w:r>
              <w:t>)</w:t>
            </w:r>
          </w:p>
        </w:tc>
      </w:tr>
    </w:tbl>
    <w:p w14:paraId="1F031941">
      <w:pPr>
        <w:snapToGrid w:val="0"/>
        <w:ind w:firstLine="480"/>
      </w:pPr>
    </w:p>
    <w:p w14:paraId="5AE591E5">
      <w:pPr>
        <w:snapToGrid w:val="0"/>
        <w:ind w:firstLine="0" w:firstLineChars="0"/>
        <w:rPr>
          <w:rFonts w:hint="eastAsia" w:eastAsia="宋体"/>
          <w:lang w:eastAsia="zh-CN"/>
        </w:rPr>
      </w:pPr>
      <w:r>
        <w:rPr>
          <w:rFonts w:hint="eastAsia"/>
        </w:rPr>
        <w:t xml:space="preserve">where </w:t>
      </w:r>
      <w:r>
        <w:rPr>
          <w:position w:val="-10"/>
        </w:rPr>
        <w:object>
          <v:shape id="_x0000_i1105" o:spt="75" type="#_x0000_t75" style="height:16pt;width:26.65pt;" o:ole="t" filled="f" coordsize="21600,21600">
            <v:path/>
            <v:fill on="f" focussize="0,0"/>
            <v:stroke/>
            <v:imagedata r:id="rId14" o:title=""/>
            <o:lock v:ext="edit" aspectratio="t"/>
            <w10:wrap type="none"/>
            <w10:anchorlock/>
          </v:shape>
          <o:OLEObject Type="Embed" ProgID="Equation.AxMath" ShapeID="_x0000_i1105" DrawAspect="Content" ObjectID="_1468075804" r:id="rId165">
            <o:LockedField>false</o:LockedField>
          </o:OLEObject>
        </w:object>
      </w:r>
      <w:r>
        <w:t xml:space="preserve"> </w:t>
      </w:r>
      <w:r>
        <w:rPr>
          <w:rFonts w:hint="eastAsia"/>
        </w:rPr>
        <w:t xml:space="preserve">is </w:t>
      </w:r>
      <w:r>
        <w:t>The discriminant of a quadratic equation</w:t>
      </w:r>
      <w:r>
        <w:rPr>
          <w:rFonts w:hint="eastAsia"/>
          <w:lang w:eastAsia="zh-CN"/>
        </w:rPr>
        <w:t xml:space="preserve">: </w:t>
      </w:r>
    </w:p>
    <w:p w14:paraId="749F1DCF">
      <w:pPr>
        <w:snapToGrid w:val="0"/>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F2E9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1FC24917">
            <w:pPr>
              <w:tabs>
                <w:tab w:val="center" w:pos="4180"/>
                <w:tab w:val="right" w:pos="8360"/>
              </w:tabs>
              <w:adjustRightInd w:val="0"/>
              <w:snapToGrid w:val="0"/>
              <w:ind w:firstLine="0" w:firstLineChars="0"/>
            </w:pPr>
            <w:r>
              <w:tab/>
            </w:r>
            <w:r>
              <w:rPr>
                <w:position w:val="-11"/>
              </w:rPr>
              <w:object>
                <v:shape id="_x0000_i1106" o:spt="75" type="#_x0000_t75" style="height:16.65pt;width:240.65pt;" o:ole="t" filled="f" coordsize="21600,21600">
                  <v:path/>
                  <v:fill on="f" focussize="0,0"/>
                  <v:stroke/>
                  <v:imagedata r:id="rId167" o:title=""/>
                  <o:lock v:ext="edit" aspectratio="t"/>
                  <w10:wrap type="none"/>
                  <w10:anchorlock/>
                </v:shape>
                <o:OLEObject Type="Embed" ProgID="Equation.AxMath" ShapeID="_x0000_i1106" DrawAspect="Content" ObjectID="_1468075805" r:id="rId166">
                  <o:LockedField>false</o:LockedField>
                </o:OLEObject>
              </w:object>
            </w:r>
          </w:p>
        </w:tc>
        <w:tc>
          <w:tcPr>
            <w:tcW w:w="644" w:type="dxa"/>
            <w:vAlign w:val="center"/>
          </w:tcPr>
          <w:p w14:paraId="7B7AC042">
            <w:pPr>
              <w:adjustRightInd w:val="0"/>
              <w:snapToGrid w:val="0"/>
              <w:ind w:firstLine="0" w:firstLineChars="0"/>
              <w:jc w:val="center"/>
            </w:pPr>
            <w:r>
              <w:t>(</w:t>
            </w:r>
            <w:r>
              <w:fldChar w:fldCharType="begin"/>
            </w:r>
            <w:r>
              <w:instrText xml:space="preserve"> AUTONUM  \* Arabic </w:instrText>
            </w:r>
            <w:r>
              <w:fldChar w:fldCharType="end"/>
            </w:r>
            <w:r>
              <w:t>)</w:t>
            </w:r>
          </w:p>
        </w:tc>
      </w:tr>
    </w:tbl>
    <w:p w14:paraId="1A23068C">
      <w:pPr>
        <w:snapToGrid w:val="0"/>
        <w:ind w:firstLine="480"/>
      </w:pPr>
    </w:p>
    <w:p w14:paraId="13298DB7">
      <w:pPr>
        <w:snapToGrid w:val="0"/>
        <w:ind w:firstLine="480"/>
      </w:pPr>
      <w:r>
        <w:t xml:space="preserve">By analyzing the sign (positive or negative) of </w:t>
      </w:r>
      <w:r>
        <w:rPr>
          <w:position w:val="-10"/>
        </w:rPr>
        <w:object>
          <v:shape id="_x0000_i1107" o:spt="75" type="#_x0000_t75" style="height:16pt;width:26.65pt;" o:ole="t" filled="f" coordsize="21600,21600">
            <v:path/>
            <v:fill on="f" focussize="0,0"/>
            <v:stroke/>
            <v:imagedata r:id="rId14" o:title=""/>
            <o:lock v:ext="edit" aspectratio="t"/>
            <w10:wrap type="none"/>
            <w10:anchorlock/>
          </v:shape>
          <o:OLEObject Type="Embed" ProgID="Equation.AxMath" ShapeID="_x0000_i1107" DrawAspect="Content" ObjectID="_1468075806" r:id="rId168">
            <o:LockedField>false</o:LockedField>
          </o:OLEObject>
        </w:object>
      </w:r>
      <w:r>
        <w:rPr>
          <w:rFonts w:hint="eastAsia"/>
        </w:rPr>
        <w:t>,</w:t>
      </w:r>
      <w:r>
        <w:t xml:space="preserve">we can obtain the following three battery operating states: </w:t>
      </w:r>
    </w:p>
    <w:p w14:paraId="37B442C3">
      <w:pPr>
        <w:pStyle w:val="29"/>
        <w:numPr>
          <w:ilvl w:val="0"/>
          <w:numId w:val="8"/>
        </w:numPr>
        <w:snapToGrid w:val="0"/>
        <w:ind w:firstLineChars="0"/>
      </w:pPr>
      <w:r>
        <w:rPr>
          <w:position w:val="-10"/>
        </w:rPr>
        <w:object>
          <v:shape id="_x0000_i1108" o:spt="75" type="#_x0000_t75" style="height:16pt;width:51.35pt;" o:ole="t" filled="f" coordsize="21600,21600">
            <v:path/>
            <v:fill on="f" focussize="0,0"/>
            <v:stroke/>
            <v:imagedata r:id="rId170" o:title=""/>
            <o:lock v:ext="edit" aspectratio="t"/>
            <w10:wrap type="none"/>
            <w10:anchorlock/>
          </v:shape>
          <o:OLEObject Type="Embed" ProgID="Equation.AxMath" ShapeID="_x0000_i1108" DrawAspect="Content" ObjectID="_1468075807" r:id="rId169">
            <o:LockedField>false</o:LockedField>
          </o:OLEObject>
        </w:object>
      </w:r>
      <w:r>
        <w:rPr>
          <w:rFonts w:hint="eastAsia"/>
        </w:rPr>
        <w:t>:</w:t>
      </w:r>
      <w:r>
        <w:t xml:space="preserve">system operating in a stable </w:t>
      </w:r>
      <w:r>
        <w:rPr>
          <w:rFonts w:hint="eastAsia"/>
        </w:rPr>
        <w:t>situation.</w:t>
      </w:r>
      <w:r>
        <w:t xml:space="preserve"> the battery </w:t>
      </w:r>
      <w:r>
        <w:rPr>
          <w:rFonts w:hint="eastAsia"/>
        </w:rPr>
        <w:t>can</w:t>
      </w:r>
      <w:r>
        <w:t xml:space="preserve"> meet the power requirements.</w:t>
      </w:r>
    </w:p>
    <w:p w14:paraId="034C2FD2">
      <w:pPr>
        <w:pStyle w:val="29"/>
        <w:numPr>
          <w:ilvl w:val="0"/>
          <w:numId w:val="8"/>
        </w:numPr>
        <w:snapToGrid w:val="0"/>
        <w:ind w:firstLineChars="0"/>
      </w:pPr>
      <w:r>
        <w:rPr>
          <w:position w:val="-10"/>
        </w:rPr>
        <w:object>
          <v:shape id="_x0000_i1109" o:spt="75" type="#_x0000_t75" style="height:16pt;width:51.35pt;" o:ole="t" filled="f" coordsize="21600,21600">
            <v:path/>
            <v:fill on="f" focussize="0,0"/>
            <v:stroke/>
            <v:imagedata r:id="rId172" o:title=""/>
            <o:lock v:ext="edit" aspectratio="t"/>
            <w10:wrap type="none"/>
            <w10:anchorlock/>
          </v:shape>
          <o:OLEObject Type="Embed" ProgID="Equation.AxMath" ShapeID="_x0000_i1109" DrawAspect="Content" ObjectID="_1468075808" r:id="rId171">
            <o:LockedField>false</o:LockedField>
          </o:OLEObject>
        </w:object>
      </w:r>
      <w:r>
        <w:rPr>
          <w:rFonts w:hint="eastAsia"/>
        </w:rPr>
        <w:t xml:space="preserve">:represents The </w:t>
      </w:r>
      <w:r>
        <w:t>Maximum Power Transfer Point</w:t>
      </w:r>
    </w:p>
    <w:p w14:paraId="5E3A801F">
      <w:pPr>
        <w:pStyle w:val="29"/>
        <w:numPr>
          <w:ilvl w:val="0"/>
          <w:numId w:val="8"/>
        </w:numPr>
        <w:ind w:firstLineChars="0"/>
      </w:pPr>
      <w:r>
        <w:rPr>
          <w:position w:val="-10"/>
        </w:rPr>
        <w:object>
          <v:shape id="_x0000_i1110" o:spt="75" type="#_x0000_t75" style="height:16pt;width:51.35pt;" o:ole="t" filled="f" coordsize="21600,21600">
            <v:path/>
            <v:fill on="f" focussize="0,0"/>
            <v:stroke/>
            <v:imagedata r:id="rId174" o:title=""/>
            <o:lock v:ext="edit" aspectratio="t"/>
            <w10:wrap type="none"/>
            <w10:anchorlock/>
          </v:shape>
          <o:OLEObject Type="Embed" ProgID="Equation.AxMath" ShapeID="_x0000_i1110" DrawAspect="Content" ObjectID="_1468075809" r:id="rId173">
            <o:LockedField>false</o:LockedField>
          </o:OLEObject>
        </w:object>
      </w:r>
      <w:r>
        <w:rPr>
          <w:rFonts w:hint="eastAsia"/>
        </w:rPr>
        <w:t>:</w:t>
      </w:r>
      <w:r>
        <w:t xml:space="preserve"> No real solutions. </w:t>
      </w:r>
      <w:r>
        <w:rPr>
          <w:b/>
          <w:bCs/>
        </w:rPr>
        <w:t>Voltage collapse</w:t>
      </w:r>
      <w:r>
        <w:t xml:space="preserve"> occurs, resulting in shutdown before the battery is fully depleted.</w:t>
      </w:r>
    </w:p>
    <w:p w14:paraId="76B1C3E0">
      <w:pPr>
        <w:tabs>
          <w:tab w:val="left" w:pos="760"/>
        </w:tabs>
        <w:snapToGrid w:val="0"/>
        <w:ind w:firstLine="0" w:firstLineChars="0"/>
      </w:pPr>
      <w:r>
        <w:tab/>
      </w:r>
    </w:p>
    <w:p w14:paraId="3CD03199">
      <w:pPr>
        <w:pStyle w:val="4"/>
      </w:pPr>
      <w:bookmarkStart w:id="28" w:name="_Toc26869"/>
      <w:r>
        <w:t>Current Limiting Protection Constraints</w:t>
      </w:r>
      <w:bookmarkEnd w:id="28"/>
    </w:p>
    <w:p w14:paraId="43F6AC0B">
      <w:pPr>
        <w:ind w:firstLine="480"/>
      </w:pPr>
      <w:r>
        <w:t>In practical equipment, to prevent excessive Joule heating from the current and voltage breakdown, a</w:t>
      </w:r>
      <w:r>
        <w:rPr>
          <w:b/>
          <w:bCs/>
        </w:rPr>
        <w:t xml:space="preserve"> current limiter</w:t>
      </w:r>
      <w:r>
        <w:t xml:space="preserve"> is introduced to maintain the current within a reasonable range. The actual output current is constrained to:</w:t>
      </w:r>
    </w:p>
    <w:p w14:paraId="52CD236D">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72886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09584281">
            <w:pPr>
              <w:tabs>
                <w:tab w:val="center" w:pos="4180"/>
                <w:tab w:val="right" w:pos="8360"/>
              </w:tabs>
              <w:adjustRightInd w:val="0"/>
              <w:snapToGrid w:val="0"/>
              <w:ind w:firstLine="0" w:firstLineChars="0"/>
            </w:pPr>
            <w:r>
              <w:tab/>
            </w:r>
            <w:r>
              <w:rPr>
                <w:position w:val="-11"/>
              </w:rPr>
              <w:object>
                <v:shape id="_x0000_i1111" o:spt="75" type="#_x0000_t75" style="height:17.35pt;width:171.35pt;" o:ole="t" filled="f" coordsize="21600,21600">
                  <v:path/>
                  <v:fill on="f" focussize="0,0"/>
                  <v:stroke/>
                  <v:imagedata r:id="rId176" o:title=""/>
                  <o:lock v:ext="edit" aspectratio="t"/>
                  <w10:wrap type="none"/>
                  <w10:anchorlock/>
                </v:shape>
                <o:OLEObject Type="Embed" ProgID="Equation.AxMath" ShapeID="_x0000_i1111" DrawAspect="Content" ObjectID="_1468075810" r:id="rId175">
                  <o:LockedField>false</o:LockedField>
                </o:OLEObject>
              </w:object>
            </w:r>
          </w:p>
        </w:tc>
        <w:tc>
          <w:tcPr>
            <w:tcW w:w="644" w:type="dxa"/>
            <w:vAlign w:val="center"/>
          </w:tcPr>
          <w:p w14:paraId="19FBF8E7">
            <w:pPr>
              <w:adjustRightInd w:val="0"/>
              <w:snapToGrid w:val="0"/>
              <w:ind w:firstLine="0" w:firstLineChars="0"/>
              <w:jc w:val="center"/>
            </w:pPr>
            <w:r>
              <w:t>(</w:t>
            </w:r>
            <w:r>
              <w:fldChar w:fldCharType="begin"/>
            </w:r>
            <w:r>
              <w:instrText xml:space="preserve"> AUTONUM  \* Arabic </w:instrText>
            </w:r>
            <w:r>
              <w:fldChar w:fldCharType="end"/>
            </w:r>
            <w:r>
              <w:t>)</w:t>
            </w:r>
          </w:p>
        </w:tc>
      </w:tr>
    </w:tbl>
    <w:p w14:paraId="63CBBA06">
      <w:pPr>
        <w:ind w:firstLine="480"/>
      </w:pPr>
    </w:p>
    <w:p w14:paraId="1A449F7E">
      <w:pPr>
        <w:ind w:firstLine="0" w:firstLineChars="0"/>
      </w:pPr>
      <w:r>
        <w:rPr>
          <w:rFonts w:hint="eastAsia"/>
        </w:rPr>
        <w:t>where</w:t>
      </w:r>
      <w:r>
        <w:t xml:space="preserve"> The maximum current decreases linearly with increasing temperature:</w:t>
      </w:r>
    </w:p>
    <w:p w14:paraId="7C9825EA">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2F418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4C9F33F9">
            <w:pPr>
              <w:tabs>
                <w:tab w:val="center" w:pos="4180"/>
                <w:tab w:val="right" w:pos="8360"/>
              </w:tabs>
              <w:adjustRightInd w:val="0"/>
              <w:snapToGrid w:val="0"/>
              <w:ind w:firstLine="0" w:firstLineChars="0"/>
            </w:pPr>
            <w:r>
              <w:tab/>
            </w:r>
            <w:r>
              <w:rPr>
                <w:position w:val="-12"/>
              </w:rPr>
              <w:object>
                <v:shape id="_x0000_i1112" o:spt="75" type="#_x0000_t75" style="height:18.65pt;width:211.35pt;" o:ole="t" filled="f" coordsize="21600,21600">
                  <v:path/>
                  <v:fill on="f" focussize="0,0"/>
                  <v:stroke/>
                  <v:imagedata r:id="rId178" o:title=""/>
                  <o:lock v:ext="edit" aspectratio="t"/>
                  <w10:wrap type="none"/>
                  <w10:anchorlock/>
                </v:shape>
                <o:OLEObject Type="Embed" ProgID="Equation.AxMath" ShapeID="_x0000_i1112" DrawAspect="Content" ObjectID="_1468075811" r:id="rId177">
                  <o:LockedField>false</o:LockedField>
                </o:OLEObject>
              </w:object>
            </w:r>
          </w:p>
        </w:tc>
        <w:tc>
          <w:tcPr>
            <w:tcW w:w="644" w:type="dxa"/>
            <w:vAlign w:val="center"/>
          </w:tcPr>
          <w:p w14:paraId="1299BF03">
            <w:pPr>
              <w:adjustRightInd w:val="0"/>
              <w:snapToGrid w:val="0"/>
              <w:ind w:firstLine="0" w:firstLineChars="0"/>
              <w:jc w:val="center"/>
            </w:pPr>
            <w:r>
              <w:t>(</w:t>
            </w:r>
            <w:r>
              <w:fldChar w:fldCharType="begin"/>
            </w:r>
            <w:r>
              <w:instrText xml:space="preserve"> AUTONUM  \* Arabic </w:instrText>
            </w:r>
            <w:r>
              <w:fldChar w:fldCharType="end"/>
            </w:r>
            <w:r>
              <w:t>)</w:t>
            </w:r>
          </w:p>
        </w:tc>
      </w:tr>
    </w:tbl>
    <w:p w14:paraId="636883E2">
      <w:pPr>
        <w:ind w:firstLine="480"/>
      </w:pPr>
    </w:p>
    <w:p w14:paraId="4B6AC881">
      <w:pPr>
        <w:ind w:firstLine="480"/>
      </w:pPr>
      <w:r>
        <w:t xml:space="preserve">At this point, we have obtained the true instantaneous current. </w:t>
      </w:r>
      <w:r>
        <w:rPr>
          <w:position w:val="-10"/>
        </w:rPr>
        <w:object>
          <v:shape id="_x0000_i1113" o:spt="75" type="#_x0000_t75" style="height:16pt;width:24pt;" o:ole="t" filled="f" coordsize="21600,21600">
            <v:path/>
            <v:fill on="f" focussize="0,0"/>
            <v:stroke/>
            <v:imagedata r:id="rId52" o:title=""/>
            <o:lock v:ext="edit" aspectratio="t"/>
            <w10:wrap type="none"/>
            <w10:anchorlock/>
          </v:shape>
          <o:OLEObject Type="Embed" ProgID="Equation.AxMath" ShapeID="_x0000_i1113" DrawAspect="Content" ObjectID="_1468075812" r:id="rId179">
            <o:LockedField>false</o:LockedField>
          </o:OLEObject>
        </w:object>
      </w:r>
      <w:r>
        <w:rPr>
          <w:rFonts w:hint="eastAsia"/>
        </w:rPr>
        <w:t>。</w:t>
      </w:r>
      <w:r>
        <w:t xml:space="preserve">By feeding this current back to </w:t>
      </w:r>
      <w:r>
        <w:rPr>
          <w:position w:val="-24"/>
        </w:rPr>
        <w:object>
          <v:shape id="_x0000_i1114" o:spt="75" type="#_x0000_t75" style="height:30.65pt;width:71.35pt;" o:ole="t" filled="f" coordsize="21600,21600">
            <v:path/>
            <v:fill on="f" focussize="0,0"/>
            <v:stroke/>
            <v:imagedata r:id="rId181" o:title=""/>
            <o:lock v:ext="edit" aspectratio="t"/>
            <w10:wrap type="none"/>
            <w10:anchorlock/>
          </v:shape>
          <o:OLEObject Type="Embed" ProgID="Equation.AxMath" ShapeID="_x0000_i1114" DrawAspect="Content" ObjectID="_1468075813" r:id="rId180">
            <o:LockedField>false</o:LockedField>
          </o:OLEObject>
        </w:object>
      </w:r>
      <w:r>
        <w:rPr>
          <w:rFonts w:hint="eastAsia"/>
        </w:rPr>
        <w:t xml:space="preserve"> </w:t>
      </w:r>
      <w:r>
        <w:t xml:space="preserve">, we can achieve </w:t>
      </w:r>
      <w:r>
        <w:rPr>
          <w:b/>
          <w:bCs/>
        </w:rPr>
        <w:t>closed-loop</w:t>
      </w:r>
      <w:r>
        <w:t xml:space="preserve"> control of the entire differential equation system.</w:t>
      </w:r>
    </w:p>
    <w:p w14:paraId="680D689A">
      <w:pPr>
        <w:snapToGrid w:val="0"/>
        <w:ind w:firstLine="0" w:firstLineChars="0"/>
      </w:pPr>
    </w:p>
    <w:p w14:paraId="09671D9B">
      <w:pPr>
        <w:pStyle w:val="2"/>
      </w:pPr>
      <w:bookmarkStart w:id="29" w:name="_Toc2483"/>
      <w:r>
        <w:t>5. Time</w:t>
      </w:r>
      <w:r>
        <w:rPr>
          <w:rFonts w:hint="eastAsia"/>
        </w:rPr>
        <w:t xml:space="preserve"> to </w:t>
      </w:r>
      <w:r>
        <w:t>E</w:t>
      </w:r>
      <w:r>
        <w:rPr>
          <w:rFonts w:hint="eastAsia"/>
        </w:rPr>
        <w:t>mpty</w:t>
      </w:r>
      <w:r>
        <w:t xml:space="preserve"> Prediction and Uncertainty</w:t>
      </w:r>
      <w:bookmarkEnd w:id="29"/>
    </w:p>
    <w:p w14:paraId="57C9DBDB">
      <w:pPr>
        <w:ind w:firstLine="480"/>
        <w:rPr>
          <w:rFonts w:hint="eastAsia"/>
          <w:vertAlign w:val="superscript"/>
        </w:rPr>
      </w:pPr>
      <w:r>
        <w:t>In Problem One, having established a physically modelled coupled system of differential-algebraic equation (</w:t>
      </w:r>
      <w:r>
        <w:rPr>
          <w:b/>
          <w:bCs/>
        </w:rPr>
        <w:t>DAE</w:t>
      </w:r>
      <w:r>
        <w:t>), we now proceed to address the prediction of the time to empty (</w:t>
      </w:r>
      <w:r>
        <w:rPr>
          <w:b/>
          <w:bCs/>
        </w:rPr>
        <w:t>TTE</w:t>
      </w:r>
      <w:r>
        <w:t>). Given the model's highly non-linear nature and the inherently unpredictable behaviour of users, analytical solutions cannot be employed.</w:t>
      </w:r>
      <w:r>
        <w:rPr>
          <w:rFonts w:hint="eastAsia"/>
          <w:vertAlign w:val="superscript"/>
        </w:rPr>
        <w:t>[3]</w:t>
      </w:r>
    </w:p>
    <w:p w14:paraId="720B184F">
      <w:pPr>
        <w:ind w:firstLine="480"/>
      </w:pPr>
      <w:r>
        <w:t>Therefore, we adopt a</w:t>
      </w:r>
      <w:r>
        <w:rPr>
          <w:rFonts w:hint="eastAsia"/>
        </w:rPr>
        <w:t xml:space="preserve"> </w:t>
      </w:r>
      <w:r>
        <w:rPr>
          <w:b/>
          <w:bCs/>
        </w:rPr>
        <w:t>numerical simulation approach</w:t>
      </w:r>
      <w:r>
        <w:t>. We utilize the</w:t>
      </w:r>
      <w:r>
        <w:rPr>
          <w:rFonts w:hint="eastAsia"/>
        </w:rPr>
        <w:t xml:space="preserve"> </w:t>
      </w:r>
      <w:r>
        <w:rPr>
          <w:b/>
          <w:bCs/>
        </w:rPr>
        <w:t>Fourth-Order Runge-Kutta Method (RK4)</w:t>
      </w:r>
      <w:r>
        <w:rPr>
          <w:rFonts w:hint="eastAsia"/>
        </w:rPr>
        <w:t xml:space="preserve"> </w:t>
      </w:r>
      <w:r>
        <w:t>method for solving the differential equations and implement a</w:t>
      </w:r>
      <w:r>
        <w:rPr>
          <w:rFonts w:hint="eastAsia"/>
        </w:rPr>
        <w:t xml:space="preserve"> </w:t>
      </w:r>
      <w:r>
        <w:rPr>
          <w:b/>
          <w:bCs/>
        </w:rPr>
        <w:t>Monte Carlo Simulation</w:t>
      </w:r>
      <w:r>
        <w:rPr>
          <w:rFonts w:hint="eastAsia"/>
        </w:rPr>
        <w:t xml:space="preserve"> </w:t>
      </w:r>
      <w:r>
        <w:t>to quantify the uncertainty arising from stochastic user behaviors.</w:t>
      </w:r>
    </w:p>
    <w:p w14:paraId="2C75C4FD">
      <w:pPr>
        <w:ind w:firstLine="480"/>
      </w:pPr>
    </w:p>
    <w:p w14:paraId="6F2BAF55">
      <w:pPr>
        <w:pStyle w:val="3"/>
        <w:spacing w:after="163"/>
      </w:pPr>
      <w:bookmarkStart w:id="30" w:name="_Toc10326"/>
      <w:r>
        <w:t>Scenario Modelling and Solution</w:t>
      </w:r>
      <w:bookmarkEnd w:id="30"/>
    </w:p>
    <w:p w14:paraId="0330F627">
      <w:pPr>
        <w:ind w:firstLine="480"/>
      </w:pPr>
      <w:r>
        <w:t xml:space="preserve">To simulate the model's performance under real-world operating conditions, we have defined </w:t>
      </w:r>
      <w:r>
        <w:rPr>
          <w:b/>
          <w:bCs/>
        </w:rPr>
        <w:t>five usage scenarios</w:t>
      </w:r>
      <w:r>
        <w:t xml:space="preserve"> ranging from low to high load. Furthermore, user inputs (C, L, and N) have been modelled as random processes.</w:t>
      </w:r>
    </w:p>
    <w:p w14:paraId="18AE61EF">
      <w:pPr>
        <w:ind w:firstLine="480"/>
      </w:pPr>
      <w:r>
        <w:t>We define the input vector</w:t>
      </w:r>
      <w:r>
        <w:rPr>
          <w:rFonts w:hint="eastAsia"/>
        </w:rPr>
        <w:t xml:space="preserve"> </w:t>
      </w:r>
      <w:r>
        <w:rPr>
          <w:position w:val="-10"/>
        </w:rPr>
        <w:object>
          <v:shape id="_x0000_i1115" o:spt="75" type="#_x0000_t75" style="height:16pt;width:24pt;" o:ole="t" filled="f" coordsize="21600,21600">
            <v:path/>
            <v:fill on="f" focussize="0,0"/>
            <v:stroke/>
            <v:imagedata r:id="rId183" o:title=""/>
            <o:lock v:ext="edit" aspectratio="t"/>
            <w10:wrap type="none"/>
            <w10:anchorlock/>
          </v:shape>
          <o:OLEObject Type="Embed" ProgID="Equation.AxMath" ShapeID="_x0000_i1115" DrawAspect="Content" ObjectID="_1468075814" r:id="rId182">
            <o:LockedField>false</o:LockedField>
          </o:OLEObject>
        </w:object>
      </w:r>
      <w:r>
        <w:rPr>
          <w:rFonts w:hint="eastAsia"/>
        </w:rPr>
        <w:t xml:space="preserve"> </w:t>
      </w:r>
      <w:r>
        <w:t>as a superposition of a baseline mean and a stochastic perturbation:</w:t>
      </w:r>
    </w:p>
    <w:p w14:paraId="35640242">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5393E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24E41B42">
            <w:pPr>
              <w:tabs>
                <w:tab w:val="center" w:pos="4180"/>
                <w:tab w:val="right" w:pos="8360"/>
              </w:tabs>
              <w:adjustRightInd w:val="0"/>
              <w:snapToGrid w:val="0"/>
              <w:ind w:firstLine="0" w:firstLineChars="0"/>
            </w:pPr>
            <w:r>
              <w:tab/>
            </w:r>
            <w:r>
              <w:rPr>
                <w:position w:val="-10"/>
              </w:rPr>
              <w:object>
                <v:shape id="_x0000_i1116" o:spt="75" type="#_x0000_t75" style="height:16pt;width:102.65pt;" o:ole="t" filled="f" coordsize="21600,21600">
                  <v:path/>
                  <v:fill on="f" focussize="0,0"/>
                  <v:stroke/>
                  <v:imagedata r:id="rId185" o:title=""/>
                  <o:lock v:ext="edit" aspectratio="t"/>
                  <w10:wrap type="none"/>
                  <w10:anchorlock/>
                </v:shape>
                <o:OLEObject Type="Embed" ProgID="Equation.AxMath" ShapeID="_x0000_i1116" DrawAspect="Content" ObjectID="_1468075815" r:id="rId184">
                  <o:LockedField>false</o:LockedField>
                </o:OLEObject>
              </w:object>
            </w:r>
          </w:p>
        </w:tc>
        <w:tc>
          <w:tcPr>
            <w:tcW w:w="644" w:type="dxa"/>
            <w:vAlign w:val="center"/>
          </w:tcPr>
          <w:p w14:paraId="5DF6792F">
            <w:pPr>
              <w:adjustRightInd w:val="0"/>
              <w:snapToGrid w:val="0"/>
              <w:ind w:firstLine="0" w:firstLineChars="0"/>
              <w:jc w:val="center"/>
            </w:pPr>
            <w:r>
              <w:t>(</w:t>
            </w:r>
            <w:r>
              <w:fldChar w:fldCharType="begin"/>
            </w:r>
            <w:r>
              <w:instrText xml:space="preserve"> AUTONUM  \* Arabic </w:instrText>
            </w:r>
            <w:r>
              <w:fldChar w:fldCharType="end"/>
            </w:r>
            <w:r>
              <w:t>)</w:t>
            </w:r>
          </w:p>
        </w:tc>
      </w:tr>
    </w:tbl>
    <w:p w14:paraId="2A49D8EE">
      <w:pPr>
        <w:ind w:firstLine="480"/>
      </w:pPr>
    </w:p>
    <w:p w14:paraId="32C24C5D">
      <w:pPr>
        <w:ind w:firstLine="0" w:firstLineChars="0"/>
      </w:pPr>
      <w:r>
        <w:t>w</w:t>
      </w:r>
      <w:r>
        <w:rPr>
          <w:rFonts w:hint="eastAsia"/>
        </w:rPr>
        <w:t xml:space="preserve">here </w:t>
      </w:r>
      <w:r>
        <w:rPr>
          <w:position w:val="-10"/>
        </w:rPr>
        <w:object>
          <v:shape id="_x0000_i1117" o:spt="75" type="#_x0000_t75" style="height:16.65pt;width:94pt;" o:ole="t" filled="f" coordsize="21600,21600">
            <v:path/>
            <v:fill on="f" focussize="0,0"/>
            <v:stroke/>
            <v:imagedata r:id="rId187" o:title=""/>
            <o:lock v:ext="edit" aspectratio="t"/>
            <w10:wrap type="none"/>
            <w10:anchorlock/>
          </v:shape>
          <o:OLEObject Type="Embed" ProgID="Equation.AxMath" ShapeID="_x0000_i1117" DrawAspect="Content" ObjectID="_1468075816" r:id="rId186">
            <o:LockedField>false</o:LockedField>
          </o:OLEObject>
        </w:object>
      </w:r>
      <w:r>
        <w:rPr>
          <w:rFonts w:hint="eastAsia"/>
        </w:rPr>
        <w:t xml:space="preserve"> </w:t>
      </w:r>
      <w:r>
        <w:t>represents Gaussian white noise, simulating the natural fluctuations in user activity.</w:t>
      </w:r>
    </w:p>
    <w:p w14:paraId="581E0A7D">
      <w:pPr>
        <w:ind w:firstLine="0" w:firstLineChars="0"/>
      </w:pPr>
    </w:p>
    <w:p w14:paraId="3D20D2D4">
      <w:pPr>
        <w:pStyle w:val="51"/>
        <w:spacing w:before="163"/>
        <w:ind w:firstLine="480"/>
      </w:pPr>
      <w:r>
        <w:rPr>
          <w:bCs/>
        </w:rPr>
        <w:t>Simulation Scenarios and Parameter Settings</w:t>
      </w:r>
    </w:p>
    <w:tbl>
      <w:tblPr>
        <w:tblStyle w:val="34"/>
        <w:tblW w:w="0" w:type="auto"/>
        <w:jc w:val="center"/>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29"/>
        <w:gridCol w:w="2350"/>
        <w:gridCol w:w="4963"/>
      </w:tblGrid>
      <w:tr w14:paraId="64A7C73B">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5" w:type="dxa"/>
            <w:tcBorders>
              <w:top w:val="single" w:color="auto" w:sz="12" w:space="0"/>
              <w:left w:val="nil"/>
              <w:bottom w:val="single" w:color="auto" w:sz="6" w:space="0"/>
              <w:right w:val="nil"/>
              <w:insideH w:val="single" w:sz="6" w:space="0"/>
              <w:insideV w:val="nil"/>
              <w:tl2br w:val="nil"/>
              <w:tr2bl w:val="nil"/>
            </w:tcBorders>
            <w:vAlign w:val="center"/>
          </w:tcPr>
          <w:p w14:paraId="6C0E747F">
            <w:pPr>
              <w:ind w:firstLine="0" w:firstLineChars="0"/>
              <w:jc w:val="center"/>
            </w:pPr>
            <w:r>
              <w:rPr>
                <w:b/>
                <w:bCs/>
              </w:rPr>
              <w:t>Scenario</w:t>
            </w:r>
          </w:p>
        </w:tc>
        <w:tc>
          <w:tcPr>
            <w:tcW w:w="3005" w:type="dxa"/>
            <w:tcBorders>
              <w:top w:val="single" w:color="auto" w:sz="12" w:space="0"/>
              <w:bottom w:val="single" w:color="auto" w:sz="6" w:space="0"/>
              <w:right w:val="nil"/>
              <w:insideH w:val="single" w:sz="6" w:space="0"/>
              <w:insideV w:val="nil"/>
              <w:tl2br w:val="nil"/>
              <w:tr2bl w:val="nil"/>
            </w:tcBorders>
            <w:vAlign w:val="center"/>
          </w:tcPr>
          <w:p w14:paraId="01981C75">
            <w:pPr>
              <w:ind w:firstLine="0" w:firstLineChars="0"/>
              <w:jc w:val="center"/>
            </w:pPr>
            <w:r>
              <w:rPr>
                <w:b/>
                <w:bCs/>
              </w:rPr>
              <w:t>Description</w:t>
            </w:r>
          </w:p>
        </w:tc>
        <w:tc>
          <w:tcPr>
            <w:tcW w:w="3006" w:type="dxa"/>
            <w:tcBorders>
              <w:top w:val="single" w:color="auto" w:sz="12" w:space="0"/>
              <w:bottom w:val="single" w:color="auto" w:sz="6" w:space="0"/>
              <w:right w:val="nil"/>
              <w:insideH w:val="single" w:sz="6" w:space="0"/>
              <w:insideV w:val="nil"/>
              <w:tl2br w:val="nil"/>
              <w:tr2bl w:val="nil"/>
            </w:tcBorders>
            <w:vAlign w:val="center"/>
          </w:tcPr>
          <w:p w14:paraId="438872C5">
            <w:pPr>
              <w:ind w:firstLine="0" w:firstLineChars="0"/>
              <w:jc w:val="center"/>
            </w:pPr>
            <w:r>
              <w:rPr>
                <w:b/>
                <w:bCs/>
              </w:rPr>
              <w:t>Key Characteristics</w:t>
            </w:r>
          </w:p>
        </w:tc>
      </w:tr>
      <w:tr w14:paraId="28BC1DEE">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5" w:type="dxa"/>
            <w:vAlign w:val="center"/>
          </w:tcPr>
          <w:p w14:paraId="13931BAC">
            <w:pPr>
              <w:ind w:firstLine="0" w:firstLineChars="0"/>
              <w:jc w:val="center"/>
            </w:pPr>
            <w:r>
              <w:rPr>
                <w:rFonts w:hint="eastAsia"/>
              </w:rPr>
              <w:t>A:</w:t>
            </w:r>
            <w:r>
              <w:rPr>
                <w:rFonts w:ascii="Arial" w:hAnsi="Arial" w:cs="Arial"/>
                <w:b/>
                <w:bCs/>
                <w:color w:val="1A1C1E"/>
                <w:sz w:val="21"/>
                <w:shd w:val="clear" w:color="auto" w:fill="FFFFFF"/>
              </w:rPr>
              <w:t xml:space="preserve"> </w:t>
            </w:r>
            <w:r>
              <w:rPr>
                <w:b/>
                <w:bCs/>
              </w:rPr>
              <w:t>Heavy Gaming</w:t>
            </w:r>
          </w:p>
        </w:tc>
        <w:tc>
          <w:tcPr>
            <w:tcW w:w="3005" w:type="dxa"/>
            <w:vAlign w:val="center"/>
          </w:tcPr>
          <w:p w14:paraId="0D9944EB">
            <w:pPr>
              <w:ind w:firstLine="0" w:firstLineChars="0"/>
              <w:jc w:val="center"/>
            </w:pPr>
            <w:r>
              <w:t>High-performance gaming with max brightness.</w:t>
            </w:r>
          </w:p>
        </w:tc>
        <w:tc>
          <w:tcPr>
            <w:tcW w:w="3006" w:type="dxa"/>
            <w:vAlign w:val="center"/>
          </w:tcPr>
          <w:p w14:paraId="4BF59E06">
            <w:pPr>
              <w:tabs>
                <w:tab w:val="center" w:pos="1400"/>
                <w:tab w:val="right" w:pos="2800"/>
              </w:tabs>
              <w:ind w:firstLine="0" w:firstLineChars="0"/>
              <w:jc w:val="center"/>
            </w:pPr>
            <w:r>
              <w:tab/>
            </w:r>
            <w:r>
              <w:rPr>
                <w:position w:val="-10"/>
              </w:rPr>
              <w:object>
                <v:shape id="_x0000_i1118" o:spt="75" type="#_x0000_t75" style="height:16pt;width:168.65pt;" o:ole="t" filled="f" coordsize="21600,21600">
                  <v:path/>
                  <v:fill on="f" focussize="0,0"/>
                  <v:stroke/>
                  <v:imagedata r:id="rId189" o:title=""/>
                  <o:lock v:ext="edit" aspectratio="t"/>
                  <w10:wrap type="none"/>
                  <w10:anchorlock/>
                </v:shape>
                <o:OLEObject Type="Embed" ProgID="Equation.AxMath" ShapeID="_x0000_i1118" DrawAspect="Content" ObjectID="_1468075817" r:id="rId188">
                  <o:LockedField>false</o:LockedField>
                </o:OLEObject>
              </w:object>
            </w:r>
          </w:p>
        </w:tc>
      </w:tr>
      <w:tr w14:paraId="04807FEF">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5" w:type="dxa"/>
            <w:vAlign w:val="center"/>
          </w:tcPr>
          <w:p w14:paraId="53D4ED74">
            <w:pPr>
              <w:ind w:firstLine="0" w:firstLineChars="0"/>
              <w:jc w:val="center"/>
            </w:pPr>
            <w:r>
              <w:rPr>
                <w:rFonts w:hint="eastAsia"/>
              </w:rPr>
              <w:t>B: N</w:t>
            </w:r>
            <w:r>
              <w:rPr>
                <w:rFonts w:hint="eastAsia"/>
                <w:b/>
                <w:bCs/>
              </w:rPr>
              <w:t>avigation</w:t>
            </w:r>
          </w:p>
        </w:tc>
        <w:tc>
          <w:tcPr>
            <w:tcW w:w="3005" w:type="dxa"/>
            <w:vAlign w:val="center"/>
          </w:tcPr>
          <w:p w14:paraId="2AA66B9C">
            <w:pPr>
              <w:ind w:firstLine="0" w:firstLineChars="0"/>
              <w:jc w:val="center"/>
            </w:pPr>
            <w:r>
              <w:rPr>
                <w:rFonts w:hint="eastAsia"/>
              </w:rPr>
              <w:t>Employing GPS to navigate</w:t>
            </w:r>
          </w:p>
        </w:tc>
        <w:tc>
          <w:tcPr>
            <w:tcW w:w="3006" w:type="dxa"/>
            <w:vAlign w:val="center"/>
          </w:tcPr>
          <w:p w14:paraId="4D7B0BCC">
            <w:pPr>
              <w:ind w:firstLine="0" w:firstLineChars="0"/>
              <w:jc w:val="center"/>
            </w:pPr>
            <w:r>
              <w:rPr>
                <w:position w:val="-10"/>
              </w:rPr>
              <w:object>
                <v:shape id="_x0000_i1119" o:spt="75" type="#_x0000_t75" style="height:16pt;width:237.35pt;" o:ole="t" filled="f" coordsize="21600,21600">
                  <v:path/>
                  <v:fill on="f" focussize="0,0"/>
                  <v:stroke/>
                  <v:imagedata r:id="rId191" o:title=""/>
                  <o:lock v:ext="edit" aspectratio="t"/>
                  <w10:wrap type="none"/>
                  <w10:anchorlock/>
                </v:shape>
                <o:OLEObject Type="Embed" ProgID="Equation.AxMath" ShapeID="_x0000_i1119" DrawAspect="Content" ObjectID="_1468075818" r:id="rId190">
                  <o:LockedField>false</o:LockedField>
                </o:OLEObject>
              </w:object>
            </w:r>
          </w:p>
        </w:tc>
      </w:tr>
      <w:tr w14:paraId="57FEF367">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5" w:type="dxa"/>
            <w:vAlign w:val="center"/>
          </w:tcPr>
          <w:p w14:paraId="50B899BD">
            <w:pPr>
              <w:ind w:firstLine="0" w:firstLineChars="0"/>
              <w:jc w:val="center"/>
            </w:pPr>
            <w:r>
              <w:rPr>
                <w:rFonts w:hint="eastAsia"/>
              </w:rPr>
              <w:t>C:</w:t>
            </w:r>
            <w:r>
              <w:rPr>
                <w:rFonts w:ascii="Arial" w:hAnsi="Arial" w:cs="Arial"/>
                <w:b/>
                <w:bCs/>
                <w:color w:val="1A1C1E"/>
                <w:sz w:val="21"/>
                <w:shd w:val="clear" w:color="auto" w:fill="FFFFFF"/>
              </w:rPr>
              <w:t xml:space="preserve"> </w:t>
            </w:r>
            <w:r>
              <w:rPr>
                <w:b/>
                <w:bCs/>
              </w:rPr>
              <w:t>Video Streaming</w:t>
            </w:r>
          </w:p>
        </w:tc>
        <w:tc>
          <w:tcPr>
            <w:tcW w:w="3005" w:type="dxa"/>
            <w:vAlign w:val="center"/>
          </w:tcPr>
          <w:p w14:paraId="54EEBE0D">
            <w:pPr>
              <w:ind w:firstLine="0" w:firstLineChars="0"/>
              <w:jc w:val="center"/>
            </w:pPr>
            <w:r>
              <w:t>Watching HD video over 5G.</w:t>
            </w:r>
          </w:p>
        </w:tc>
        <w:tc>
          <w:tcPr>
            <w:tcW w:w="3006" w:type="dxa"/>
            <w:vAlign w:val="center"/>
          </w:tcPr>
          <w:p w14:paraId="65FDE31E">
            <w:pPr>
              <w:ind w:firstLine="0" w:firstLineChars="0"/>
              <w:jc w:val="center"/>
            </w:pPr>
            <w:r>
              <w:rPr>
                <w:position w:val="-10"/>
              </w:rPr>
              <w:object>
                <v:shape id="_x0000_i1120" o:spt="75" type="#_x0000_t75" style="height:16pt;width:182pt;" o:ole="t" filled="f" coordsize="21600,21600">
                  <v:path/>
                  <v:fill on="f" focussize="0,0"/>
                  <v:stroke/>
                  <v:imagedata r:id="rId193" o:title=""/>
                  <o:lock v:ext="edit" aspectratio="t"/>
                  <w10:wrap type="none"/>
                  <w10:anchorlock/>
                </v:shape>
                <o:OLEObject Type="Embed" ProgID="Equation.AxMath" ShapeID="_x0000_i1120" DrawAspect="Content" ObjectID="_1468075819" r:id="rId192">
                  <o:LockedField>false</o:LockedField>
                </o:OLEObject>
              </w:object>
            </w:r>
          </w:p>
        </w:tc>
      </w:tr>
      <w:tr w14:paraId="5E244682">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5" w:type="dxa"/>
            <w:vAlign w:val="center"/>
          </w:tcPr>
          <w:p w14:paraId="6ACC99C5">
            <w:pPr>
              <w:ind w:firstLine="0" w:firstLineChars="0"/>
              <w:jc w:val="center"/>
            </w:pPr>
            <w:r>
              <w:rPr>
                <w:rFonts w:hint="eastAsia"/>
              </w:rPr>
              <w:t xml:space="preserve">D: </w:t>
            </w:r>
            <w:r>
              <w:rPr>
                <w:rFonts w:hint="eastAsia"/>
                <w:b/>
                <w:bCs/>
              </w:rPr>
              <w:t>Online chatting</w:t>
            </w:r>
          </w:p>
        </w:tc>
        <w:tc>
          <w:tcPr>
            <w:tcW w:w="3005" w:type="dxa"/>
            <w:vAlign w:val="center"/>
          </w:tcPr>
          <w:p w14:paraId="46341539">
            <w:pPr>
              <w:ind w:firstLine="0" w:firstLineChars="0"/>
              <w:jc w:val="center"/>
            </w:pPr>
            <w:r>
              <w:t>chatting on a messaging app</w:t>
            </w:r>
          </w:p>
        </w:tc>
        <w:tc>
          <w:tcPr>
            <w:tcW w:w="3006" w:type="dxa"/>
            <w:vAlign w:val="center"/>
          </w:tcPr>
          <w:p w14:paraId="571F12E2">
            <w:pPr>
              <w:ind w:firstLine="0" w:firstLineChars="0"/>
              <w:jc w:val="center"/>
            </w:pPr>
            <w:r>
              <w:rPr>
                <w:position w:val="-10"/>
              </w:rPr>
              <w:object>
                <v:shape id="_x0000_i1121" o:spt="75" type="#_x0000_t75" style="height:16pt;width:182pt;" o:ole="t" filled="f" coordsize="21600,21600">
                  <v:path/>
                  <v:fill on="f" focussize="0,0"/>
                  <v:stroke/>
                  <v:imagedata r:id="rId195" o:title=""/>
                  <o:lock v:ext="edit" aspectratio="t"/>
                  <w10:wrap type="none"/>
                  <w10:anchorlock/>
                </v:shape>
                <o:OLEObject Type="Embed" ProgID="Equation.AxMath" ShapeID="_x0000_i1121" DrawAspect="Content" ObjectID="_1468075820" r:id="rId194">
                  <o:LockedField>false</o:LockedField>
                </o:OLEObject>
              </w:object>
            </w:r>
          </w:p>
        </w:tc>
      </w:tr>
      <w:tr w14:paraId="2522EA72">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5" w:type="dxa"/>
            <w:vAlign w:val="center"/>
          </w:tcPr>
          <w:p w14:paraId="4E574CF3">
            <w:pPr>
              <w:ind w:firstLine="0" w:firstLineChars="0"/>
              <w:jc w:val="center"/>
            </w:pPr>
            <w:r>
              <w:rPr>
                <w:rFonts w:hint="eastAsia"/>
              </w:rPr>
              <w:t>E:</w:t>
            </w:r>
            <w:r>
              <w:rPr>
                <w:rFonts w:ascii="Arial" w:hAnsi="Arial" w:cs="Arial"/>
                <w:b/>
                <w:bCs/>
                <w:color w:val="1A1C1E"/>
                <w:sz w:val="21"/>
                <w:shd w:val="clear" w:color="auto" w:fill="FFFFFF"/>
              </w:rPr>
              <w:t xml:space="preserve"> </w:t>
            </w:r>
            <w:r>
              <w:rPr>
                <w:b/>
                <w:bCs/>
              </w:rPr>
              <w:t>Standby</w:t>
            </w:r>
          </w:p>
        </w:tc>
        <w:tc>
          <w:tcPr>
            <w:tcW w:w="3005" w:type="dxa"/>
            <w:vAlign w:val="center"/>
          </w:tcPr>
          <w:p w14:paraId="062FDC00">
            <w:pPr>
              <w:ind w:firstLine="0" w:firstLineChars="0"/>
              <w:jc w:val="center"/>
            </w:pPr>
            <w:r>
              <w:t>Screen off, background sync only.</w:t>
            </w:r>
            <w:r>
              <w:tab/>
            </w:r>
          </w:p>
        </w:tc>
        <w:tc>
          <w:tcPr>
            <w:tcW w:w="3006" w:type="dxa"/>
            <w:vAlign w:val="center"/>
          </w:tcPr>
          <w:p w14:paraId="751797AE">
            <w:pPr>
              <w:ind w:firstLine="0" w:firstLineChars="0"/>
              <w:jc w:val="center"/>
            </w:pPr>
            <w:r>
              <w:rPr>
                <w:position w:val="-10"/>
              </w:rPr>
              <w:object>
                <v:shape id="_x0000_i1122" o:spt="75" type="#_x0000_t75" style="height:16pt;width:173.35pt;" o:ole="t" filled="f" coordsize="21600,21600">
                  <v:path/>
                  <v:fill on="f" focussize="0,0"/>
                  <v:stroke/>
                  <v:imagedata r:id="rId197" o:title=""/>
                  <o:lock v:ext="edit" aspectratio="t"/>
                  <w10:wrap type="none"/>
                  <w10:anchorlock/>
                </v:shape>
                <o:OLEObject Type="Embed" ProgID="Equation.AxMath" ShapeID="_x0000_i1122" DrawAspect="Content" ObjectID="_1468075821" r:id="rId196">
                  <o:LockedField>false</o:LockedField>
                </o:OLEObject>
              </w:object>
            </w:r>
          </w:p>
        </w:tc>
      </w:tr>
    </w:tbl>
    <w:p w14:paraId="08D09F05">
      <w:pPr>
        <w:snapToGrid w:val="0"/>
        <w:ind w:firstLine="480"/>
      </w:pPr>
    </w:p>
    <w:p w14:paraId="0B517A91">
      <w:pPr>
        <w:snapToGrid w:val="0"/>
        <w:ind w:firstLine="480"/>
        <w:rPr>
          <w:rFonts w:hint="eastAsia" w:eastAsia="宋体"/>
          <w:lang w:eastAsia="zh-CN"/>
        </w:rPr>
      </w:pPr>
      <w:r>
        <w:t xml:space="preserve">As it is impossible to predict users' next actions with precision, a single deterministic simulation result is insufficient to reflect reality. We employ the </w:t>
      </w:r>
      <w:r>
        <w:rPr>
          <w:b/>
          <w:bCs/>
        </w:rPr>
        <w:t>Monte Carlo method</w:t>
      </w:r>
      <w:r>
        <w:t xml:space="preserve"> to generate the probability distribution of </w:t>
      </w:r>
      <w:r>
        <w:rPr>
          <w:b/>
          <w:bCs/>
        </w:rPr>
        <w:t>TTE</w:t>
      </w:r>
      <w:r>
        <w:rPr>
          <w:rFonts w:hint="eastAsia"/>
          <w:lang w:eastAsia="zh-CN"/>
        </w:rPr>
        <w:t xml:space="preserve">: </w:t>
      </w:r>
    </w:p>
    <w:p w14:paraId="06B0E38D">
      <w:pPr>
        <w:snapToGrid w:val="0"/>
        <w:ind w:firstLine="480"/>
      </w:pPr>
    </w:p>
    <w:p w14:paraId="1839CD6B">
      <w:pPr>
        <w:pStyle w:val="29"/>
        <w:numPr>
          <w:ilvl w:val="0"/>
          <w:numId w:val="9"/>
        </w:numPr>
        <w:snapToGrid w:val="0"/>
        <w:ind w:firstLineChars="0"/>
      </w:pPr>
      <w:r>
        <w:t>First,</w:t>
      </w:r>
      <w:r>
        <w:rPr>
          <w:rFonts w:hint="eastAsia"/>
        </w:rPr>
        <w:t xml:space="preserve"> </w:t>
      </w:r>
      <w:r>
        <w:t>we proceed with the initialisation:</w:t>
      </w:r>
      <w:r>
        <w:rPr>
          <w:rFonts w:ascii="Arial" w:hAnsi="Arial" w:cs="Arial"/>
          <w:color w:val="1A1C1E"/>
          <w:sz w:val="21"/>
          <w:shd w:val="clear" w:color="auto" w:fill="FFFFFF"/>
        </w:rPr>
        <w:t xml:space="preserve"> </w:t>
      </w:r>
      <w:r>
        <w:t>Set initial state vector</w:t>
      </w:r>
    </w:p>
    <w:p w14:paraId="25A8F849">
      <w:pPr>
        <w:pStyle w:val="29"/>
        <w:snapToGrid w:val="0"/>
        <w:ind w:left="920" w:firstLine="0" w:firstLineChars="0"/>
        <w:jc w:val="center"/>
      </w:pPr>
      <w:r>
        <w:rPr>
          <w:position w:val="-11"/>
        </w:rPr>
        <w:object>
          <v:shape id="_x0000_i1123" o:spt="75" type="#_x0000_t75" style="height:17.35pt;width:227.35pt;" o:ole="t" filled="f" coordsize="21600,21600">
            <v:path/>
            <v:fill on="f" focussize="0,0"/>
            <v:stroke/>
            <v:imagedata r:id="rId199" o:title=""/>
            <o:lock v:ext="edit" aspectratio="t"/>
            <w10:wrap type="none"/>
            <w10:anchorlock/>
          </v:shape>
          <o:OLEObject Type="Embed" ProgID="Equation.AxMath" ShapeID="_x0000_i1123" DrawAspect="Content" ObjectID="_1468075822" r:id="rId198">
            <o:LockedField>false</o:LockedField>
          </o:OLEObject>
        </w:object>
      </w:r>
    </w:p>
    <w:p w14:paraId="290AA352">
      <w:pPr>
        <w:snapToGrid w:val="0"/>
        <w:ind w:firstLine="480"/>
      </w:pPr>
    </w:p>
    <w:p w14:paraId="49FB7274">
      <w:pPr>
        <w:pStyle w:val="29"/>
        <w:numPr>
          <w:ilvl w:val="0"/>
          <w:numId w:val="9"/>
        </w:numPr>
        <w:snapToGrid w:val="0"/>
        <w:ind w:firstLineChars="0"/>
      </w:pPr>
      <w:r>
        <w:rPr>
          <w:rFonts w:hint="eastAsia"/>
        </w:rPr>
        <w:t xml:space="preserve">Then, </w:t>
      </w:r>
      <w:r>
        <w:t>We perform</w:t>
      </w:r>
      <w:r>
        <w:rPr>
          <w:rFonts w:hint="eastAsia"/>
        </w:rPr>
        <w:t xml:space="preserve"> </w:t>
      </w:r>
      <w:r>
        <w:rPr>
          <w:position w:val="-9"/>
        </w:rPr>
        <w:object>
          <v:shape id="_x0000_i1124" o:spt="75" type="#_x0000_t75" style="height:15.35pt;width:49.35pt;" o:ole="t" filled="f" coordsize="21600,21600">
            <v:path/>
            <v:fill on="f" focussize="0,0"/>
            <v:stroke/>
            <v:imagedata r:id="rId201" o:title=""/>
            <o:lock v:ext="edit" aspectratio="t"/>
            <w10:wrap type="none"/>
            <w10:anchorlock/>
          </v:shape>
          <o:OLEObject Type="Embed" ProgID="Equation.AxMath" ShapeID="_x0000_i1124" DrawAspect="Content" ObjectID="_1468075823" r:id="rId200">
            <o:LockedField>false</o:LockedField>
          </o:OLEObject>
        </w:object>
      </w:r>
      <w:r>
        <w:rPr>
          <w:rFonts w:ascii="Arial" w:hAnsi="Arial" w:cs="Arial"/>
          <w:color w:val="1A1C1E"/>
          <w:sz w:val="21"/>
          <w:shd w:val="clear" w:color="auto" w:fill="FFFFFF"/>
        </w:rPr>
        <w:t xml:space="preserve"> </w:t>
      </w:r>
      <w:r>
        <w:t xml:space="preserve">independent trials. For the k iteration, generate a unique input time series based on the scenario definition in </w:t>
      </w:r>
      <w:r>
        <w:rPr>
          <w:b/>
          <w:bCs/>
        </w:rPr>
        <w:t>Table 2</w:t>
      </w:r>
      <w:r>
        <w:t>.</w:t>
      </w:r>
    </w:p>
    <w:p w14:paraId="0C4C56E6">
      <w:pPr>
        <w:snapToGrid w:val="0"/>
        <w:ind w:firstLine="480"/>
      </w:pPr>
    </w:p>
    <w:p w14:paraId="4A875711">
      <w:pPr>
        <w:pStyle w:val="29"/>
        <w:numPr>
          <w:ilvl w:val="0"/>
          <w:numId w:val="10"/>
        </w:numPr>
        <w:snapToGrid w:val="0"/>
        <w:ind w:firstLineChars="0"/>
      </w:pPr>
      <w:r>
        <w:t>Employing the time-step solver (</w:t>
      </w:r>
      <w:r>
        <w:rPr>
          <w:b/>
          <w:bCs/>
        </w:rPr>
        <w:t>RK4</w:t>
      </w:r>
      <w:r>
        <w:t>):</w:t>
      </w:r>
      <w:r>
        <w:rPr>
          <w:rFonts w:ascii="Arial" w:hAnsi="Arial" w:cs="Arial"/>
          <w:color w:val="1A1C1E"/>
          <w:sz w:val="21"/>
          <w:shd w:val="clear" w:color="auto" w:fill="FFFFFF"/>
        </w:rPr>
        <w:t xml:space="preserve"> </w:t>
      </w:r>
      <w:r>
        <w:t>Solve the system with time step</w:t>
      </w:r>
      <w:r>
        <w:rPr>
          <w:position w:val="-9"/>
        </w:rPr>
        <w:object>
          <v:shape id="_x0000_i1125" o:spt="75" type="#_x0000_t75" style="height:15.35pt;width:43.35pt;" o:ole="t" filled="f" coordsize="21600,21600">
            <v:path/>
            <v:fill on="f" focussize="0,0"/>
            <v:stroke/>
            <v:imagedata r:id="rId203" o:title=""/>
            <o:lock v:ext="edit" aspectratio="t"/>
            <w10:wrap type="none"/>
            <w10:anchorlock/>
          </v:shape>
          <o:OLEObject Type="Embed" ProgID="Equation.AxMath" ShapeID="_x0000_i1125" DrawAspect="Content" ObjectID="_1468075824" r:id="rId202">
            <o:LockedField>false</o:LockedField>
          </o:OLEObject>
        </w:object>
      </w:r>
      <w:r>
        <w:rPr>
          <w:rFonts w:hint="eastAsia"/>
        </w:rPr>
        <w:t>.</w:t>
      </w:r>
    </w:p>
    <w:p w14:paraId="78374423">
      <w:pPr>
        <w:pStyle w:val="29"/>
        <w:numPr>
          <w:ilvl w:val="0"/>
          <w:numId w:val="11"/>
        </w:numPr>
        <w:snapToGrid w:val="0"/>
        <w:ind w:firstLineChars="0"/>
        <w:rPr>
          <w:b/>
          <w:bCs/>
        </w:rPr>
      </w:pPr>
      <w:r>
        <w:rPr>
          <w:rFonts w:hint="eastAsia"/>
        </w:rPr>
        <w:t>C</w:t>
      </w:r>
      <w:r>
        <w:t>alculate</w:t>
      </w:r>
      <w:r>
        <w:rPr>
          <w:rFonts w:hint="eastAsia"/>
        </w:rPr>
        <w:t xml:space="preserve"> </w:t>
      </w:r>
      <w:r>
        <w:t xml:space="preserve">The total </w:t>
      </w:r>
      <w:r>
        <w:rPr>
          <w:b/>
          <w:bCs/>
        </w:rPr>
        <w:t>power consumption</w:t>
      </w:r>
      <w:r>
        <w:t xml:space="preserve"> </w:t>
      </w:r>
      <w:r>
        <w:rPr>
          <w:rFonts w:hint="eastAsia"/>
        </w:rPr>
        <w:t>with</w:t>
      </w:r>
      <w:r>
        <w:t xml:space="preserve"> </w:t>
      </w:r>
      <w:r>
        <w:rPr>
          <w:rFonts w:hint="eastAsia"/>
        </w:rPr>
        <w:t>the</w:t>
      </w:r>
      <w:r>
        <w:t xml:space="preserve"> power consumption model based on</w:t>
      </w:r>
      <w:r>
        <w:rPr>
          <w:b/>
          <w:bCs/>
        </w:rPr>
        <w:t xml:space="preserve"> 4.2</w:t>
      </w:r>
      <w:r>
        <w:t>.</w:t>
      </w:r>
    </w:p>
    <w:p w14:paraId="388E0EA5">
      <w:pPr>
        <w:pStyle w:val="29"/>
        <w:numPr>
          <w:ilvl w:val="0"/>
          <w:numId w:val="11"/>
        </w:numPr>
        <w:snapToGrid w:val="0"/>
        <w:ind w:firstLineChars="0"/>
        <w:rPr>
          <w:b/>
          <w:bCs/>
        </w:rPr>
      </w:pPr>
      <w:r>
        <w:t xml:space="preserve">Obtain the </w:t>
      </w:r>
      <w:r>
        <w:rPr>
          <w:b/>
          <w:bCs/>
        </w:rPr>
        <w:t xml:space="preserve">current </w:t>
      </w:r>
      <w:r>
        <w:rPr>
          <w:b/>
          <w:bCs/>
          <w:position w:val="-10"/>
        </w:rPr>
        <w:object>
          <v:shape id="_x0000_i1126" o:spt="75" type="#_x0000_t75" style="height:16pt;width:24pt;" o:ole="t" filled="f" coordsize="21600,21600">
            <v:path/>
            <v:fill on="f" focussize="0,0"/>
            <v:stroke/>
            <v:imagedata r:id="rId52" o:title=""/>
            <o:lock v:ext="edit" aspectratio="t"/>
            <w10:wrap type="none"/>
            <w10:anchorlock/>
          </v:shape>
          <o:OLEObject Type="Embed" ProgID="Equation.AxMath" ShapeID="_x0000_i1126" DrawAspect="Content" ObjectID="_1468075825" r:id="rId204">
            <o:LockedField>false</o:LockedField>
          </o:OLEObject>
        </w:object>
      </w:r>
      <w:r>
        <w:t>using the CPL equation based on</w:t>
      </w:r>
      <w:r>
        <w:rPr>
          <w:b/>
          <w:bCs/>
        </w:rPr>
        <w:t xml:space="preserve"> 4.3 </w:t>
      </w:r>
    </w:p>
    <w:p w14:paraId="039D2A56">
      <w:pPr>
        <w:pStyle w:val="29"/>
        <w:numPr>
          <w:ilvl w:val="0"/>
          <w:numId w:val="11"/>
        </w:numPr>
        <w:snapToGrid w:val="0"/>
        <w:ind w:firstLineChars="0"/>
      </w:pPr>
      <w:r>
        <w:t>Based on the first two models, the state variables</w:t>
      </w:r>
      <w:r>
        <w:rPr>
          <w:position w:val="-9"/>
        </w:rPr>
        <w:object>
          <v:shape id="_x0000_i1127" o:spt="75" type="#_x0000_t75" style="height:15.35pt;width:91.35pt;" o:ole="t" filled="f" coordsize="21600,21600">
            <v:path/>
            <v:fill on="f" focussize="0,0"/>
            <v:stroke/>
            <v:imagedata r:id="rId206" o:title=""/>
            <o:lock v:ext="edit" aspectratio="t"/>
            <w10:wrap type="none"/>
            <w10:anchorlock/>
          </v:shape>
          <o:OLEObject Type="Embed" ProgID="Equation.AxMath" ShapeID="_x0000_i1127" DrawAspect="Content" ObjectID="_1468075826" r:id="rId205">
            <o:LockedField>false</o:LockedField>
          </o:OLEObject>
        </w:object>
      </w:r>
      <w:r>
        <w:t xml:space="preserve"> are updated via RK4 integration.</w:t>
      </w:r>
    </w:p>
    <w:p w14:paraId="1943070C">
      <w:pPr>
        <w:pStyle w:val="29"/>
        <w:snapToGrid w:val="0"/>
        <w:ind w:left="1360" w:firstLine="0" w:firstLineChars="0"/>
      </w:pPr>
    </w:p>
    <w:p w14:paraId="3C8AE868">
      <w:pPr>
        <w:pStyle w:val="3"/>
        <w:spacing w:after="163"/>
        <w:rPr>
          <w:rFonts w:hint="default" w:ascii="Times New Roman" w:hAnsi="Times New Roman" w:eastAsia="宋体" w:cs="Times New Roman"/>
          <w:sz w:val="36"/>
        </w:rPr>
      </w:pPr>
      <w:bookmarkStart w:id="31" w:name="_Toc25485"/>
      <w:r>
        <w:rPr>
          <w:rStyle w:val="57"/>
          <w:rFonts w:hint="default" w:ascii="Times New Roman" w:hAnsi="Times New Roman" w:cs="Times New Roman"/>
          <w:color w:val="1A1C1E"/>
        </w:rPr>
        <w:t>TTE Results and Discussion</w:t>
      </w:r>
      <w:bookmarkEnd w:id="31"/>
    </w:p>
    <w:p w14:paraId="437D65E7">
      <w:pPr>
        <w:snapToGrid w:val="0"/>
        <w:ind w:firstLine="480"/>
      </w:pPr>
      <w:r>
        <w:t>We have completed Monte Carlo simulations for five scenarios.</w:t>
      </w:r>
      <w:r>
        <w:rPr>
          <w:rFonts w:hint="eastAsia"/>
        </w:rPr>
        <w:t xml:space="preserve"> It </w:t>
      </w:r>
      <w:r>
        <w:t>reveals not only the expected battery life but also the</w:t>
      </w:r>
      <w:r>
        <w:rPr>
          <w:rFonts w:hint="eastAsia"/>
        </w:rPr>
        <w:t xml:space="preserve"> </w:t>
      </w:r>
      <w:r>
        <w:rPr>
          <w:b/>
          <w:bCs/>
        </w:rPr>
        <w:t>risk profile</w:t>
      </w:r>
      <w:r>
        <w:rPr>
          <w:rFonts w:hint="eastAsia"/>
        </w:rPr>
        <w:t xml:space="preserve"> </w:t>
      </w:r>
      <w:r>
        <w:t>associated with each activity.</w:t>
      </w:r>
    </w:p>
    <w:p w14:paraId="32F45953">
      <w:pPr>
        <w:snapToGrid w:val="0"/>
        <w:ind w:firstLine="480"/>
      </w:pPr>
    </w:p>
    <w:p w14:paraId="288E0F8F">
      <w:pPr>
        <w:pStyle w:val="4"/>
      </w:pPr>
      <w:bookmarkStart w:id="32" w:name="_Toc24439"/>
      <w:r>
        <w:t>Analysis of TTE Distributions</w:t>
      </w:r>
      <w:bookmarkEnd w:id="32"/>
    </w:p>
    <w:p w14:paraId="27AF7FFB">
      <w:pPr>
        <w:ind w:firstLine="480"/>
      </w:pPr>
      <w:r>
        <w:t>Based on the calibrated model, RK4 was employed to solve for the average power consumption, TTE, and other data across various usage scenarios:</w:t>
      </w:r>
    </w:p>
    <w:p w14:paraId="523F67E1">
      <w:pPr>
        <w:ind w:firstLine="480"/>
      </w:pPr>
    </w:p>
    <w:tbl>
      <w:tblPr>
        <w:tblStyle w:val="34"/>
        <w:tblW w:w="0" w:type="auto"/>
        <w:jc w:val="center"/>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03"/>
        <w:gridCol w:w="1803"/>
        <w:gridCol w:w="1803"/>
        <w:gridCol w:w="1803"/>
        <w:gridCol w:w="1804"/>
      </w:tblGrid>
      <w:tr w14:paraId="16EB37A1">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03" w:type="dxa"/>
            <w:tcBorders>
              <w:top w:val="single" w:color="auto" w:sz="12" w:space="0"/>
              <w:left w:val="nil"/>
              <w:bottom w:val="single" w:color="auto" w:sz="6" w:space="0"/>
              <w:right w:val="nil"/>
              <w:insideH w:val="single" w:sz="6" w:space="0"/>
              <w:insideV w:val="nil"/>
              <w:tl2br w:val="nil"/>
              <w:tr2bl w:val="nil"/>
            </w:tcBorders>
            <w:vAlign w:val="center"/>
          </w:tcPr>
          <w:p w14:paraId="52F999B3">
            <w:pPr>
              <w:ind w:firstLine="0" w:firstLineChars="0"/>
              <w:jc w:val="center"/>
            </w:pPr>
            <w:r>
              <w:t>Scenario</w:t>
            </w:r>
          </w:p>
        </w:tc>
        <w:tc>
          <w:tcPr>
            <w:tcW w:w="1803" w:type="dxa"/>
            <w:tcBorders>
              <w:top w:val="single" w:color="auto" w:sz="12" w:space="0"/>
              <w:bottom w:val="single" w:color="auto" w:sz="6" w:space="0"/>
              <w:right w:val="nil"/>
              <w:insideH w:val="single" w:sz="6" w:space="0"/>
              <w:insideV w:val="nil"/>
              <w:tl2br w:val="nil"/>
              <w:tr2bl w:val="nil"/>
            </w:tcBorders>
            <w:vAlign w:val="center"/>
          </w:tcPr>
          <w:p w14:paraId="4C8A3D99">
            <w:pPr>
              <w:tabs>
                <w:tab w:val="center" w:pos="790"/>
                <w:tab w:val="right" w:pos="1580"/>
              </w:tabs>
              <w:ind w:firstLine="0" w:firstLineChars="0"/>
              <w:jc w:val="center"/>
            </w:pPr>
            <w:r>
              <w:rPr>
                <w:position w:val="-9"/>
              </w:rPr>
              <w:object>
                <v:shape id="_x0000_i1128" o:spt="75" type="#_x0000_t75" style="height:16pt;width:19.35pt;" o:ole="t" filled="f" coordsize="21600,21600">
                  <v:path/>
                  <v:fill on="f" focussize="0,0"/>
                  <v:stroke/>
                  <v:imagedata r:id="rId208" o:title=""/>
                  <o:lock v:ext="edit" aspectratio="t"/>
                  <w10:wrap type="none"/>
                  <w10:anchorlock/>
                </v:shape>
                <o:OLEObject Type="Embed" ProgID="Equation.AxMath" ShapeID="_x0000_i1128" DrawAspect="Content" ObjectID="_1468075827" r:id="rId207">
                  <o:LockedField>false</o:LockedField>
                </o:OLEObject>
              </w:object>
            </w:r>
            <w:r>
              <w:rPr>
                <w:rFonts w:hint="eastAsia"/>
              </w:rPr>
              <w:t>/mW</w:t>
            </w:r>
          </w:p>
        </w:tc>
        <w:tc>
          <w:tcPr>
            <w:tcW w:w="1803" w:type="dxa"/>
            <w:tcBorders>
              <w:top w:val="single" w:color="auto" w:sz="12" w:space="0"/>
              <w:bottom w:val="single" w:color="auto" w:sz="6" w:space="0"/>
              <w:right w:val="nil"/>
              <w:insideH w:val="single" w:sz="6" w:space="0"/>
              <w:insideV w:val="nil"/>
              <w:tl2br w:val="nil"/>
              <w:tr2bl w:val="nil"/>
            </w:tcBorders>
            <w:vAlign w:val="center"/>
          </w:tcPr>
          <w:p w14:paraId="6E69E854">
            <w:pPr>
              <w:ind w:firstLine="0" w:firstLineChars="0"/>
              <w:jc w:val="center"/>
            </w:pPr>
            <w:r>
              <w:rPr>
                <w:rFonts w:hint="eastAsia"/>
              </w:rPr>
              <w:t>TTE/h</w:t>
            </w:r>
          </w:p>
        </w:tc>
        <w:tc>
          <w:tcPr>
            <w:tcW w:w="1803" w:type="dxa"/>
            <w:tcBorders>
              <w:top w:val="single" w:color="auto" w:sz="12" w:space="0"/>
              <w:bottom w:val="single" w:color="auto" w:sz="6" w:space="0"/>
              <w:right w:val="nil"/>
              <w:insideH w:val="single" w:sz="6" w:space="0"/>
              <w:insideV w:val="nil"/>
              <w:tl2br w:val="nil"/>
              <w:tr2bl w:val="nil"/>
            </w:tcBorders>
            <w:vAlign w:val="center"/>
          </w:tcPr>
          <w:p w14:paraId="7002BEDF">
            <w:pPr>
              <w:tabs>
                <w:tab w:val="center" w:pos="790"/>
                <w:tab w:val="right" w:pos="1580"/>
              </w:tabs>
              <w:ind w:firstLine="0" w:firstLineChars="0"/>
              <w:jc w:val="center"/>
            </w:pPr>
            <w:r>
              <w:t>A</w:t>
            </w:r>
            <w:r>
              <w:rPr>
                <w:rFonts w:hint="eastAsia"/>
              </w:rPr>
              <w:t xml:space="preserve">verage  </w:t>
            </w:r>
            <w:r>
              <w:rPr>
                <w:position w:val="-10"/>
              </w:rPr>
              <w:object>
                <v:shape id="_x0000_i1129" o:spt="75" type="#_x0000_t75" style="height:16.65pt;width:24pt;" o:ole="t" filled="f" coordsize="21600,21600">
                  <v:path/>
                  <v:fill on="f" focussize="0,0"/>
                  <v:stroke/>
                  <v:imagedata r:id="rId52" o:title=""/>
                  <o:lock v:ext="edit" aspectratio="t"/>
                  <w10:wrap type="none"/>
                  <w10:anchorlock/>
                </v:shape>
                <o:OLEObject Type="Embed" ProgID="Equation.AxMath" ShapeID="_x0000_i1129" DrawAspect="Content" ObjectID="_1468075828" r:id="rId209">
                  <o:LockedField>false</o:LockedField>
                </o:OLEObject>
              </w:object>
            </w:r>
          </w:p>
        </w:tc>
        <w:tc>
          <w:tcPr>
            <w:tcW w:w="1804" w:type="dxa"/>
            <w:tcBorders>
              <w:top w:val="single" w:color="auto" w:sz="12" w:space="0"/>
              <w:bottom w:val="single" w:color="auto" w:sz="6" w:space="0"/>
              <w:right w:val="nil"/>
              <w:insideH w:val="single" w:sz="6" w:space="0"/>
              <w:insideV w:val="nil"/>
              <w:tl2br w:val="nil"/>
              <w:tr2bl w:val="nil"/>
            </w:tcBorders>
            <w:vAlign w:val="center"/>
          </w:tcPr>
          <w:p w14:paraId="346161A1">
            <w:pPr>
              <w:ind w:firstLine="0" w:firstLineChars="0"/>
              <w:jc w:val="center"/>
            </w:pPr>
            <w:r>
              <w:t>P</w:t>
            </w:r>
            <w:r>
              <w:rPr>
                <w:rFonts w:hint="eastAsia"/>
              </w:rPr>
              <w:t xml:space="preserve">eak </w:t>
            </w:r>
            <w:r>
              <w:rPr>
                <w:position w:val="-9"/>
              </w:rPr>
              <w:object>
                <v:shape id="_x0000_i1130" o:spt="75" type="#_x0000_t75" style="height:16pt;width:13.35pt;" o:ole="t" filled="f" coordsize="21600,21600">
                  <v:path/>
                  <v:fill on="f" focussize="0,0"/>
                  <v:stroke/>
                  <v:imagedata r:id="rId30" o:title=""/>
                  <o:lock v:ext="edit" aspectratio="t"/>
                  <w10:wrap type="none"/>
                  <w10:anchorlock/>
                </v:shape>
                <o:OLEObject Type="Embed" ProgID="Equation.AxMath" ShapeID="_x0000_i1130" DrawAspect="Content" ObjectID="_1468075829" r:id="rId210">
                  <o:LockedField>false</o:LockedField>
                </o:OLEObject>
              </w:object>
            </w:r>
          </w:p>
        </w:tc>
      </w:tr>
      <w:tr w14:paraId="20B6B012">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03" w:type="dxa"/>
            <w:vAlign w:val="center"/>
          </w:tcPr>
          <w:p w14:paraId="58C1E2AB">
            <w:pPr>
              <w:ind w:firstLine="0" w:firstLineChars="0"/>
              <w:jc w:val="center"/>
            </w:pPr>
            <w:r>
              <w:rPr>
                <w:rFonts w:hint="eastAsia"/>
              </w:rPr>
              <w:t>A</w:t>
            </w:r>
          </w:p>
        </w:tc>
        <w:tc>
          <w:tcPr>
            <w:tcW w:w="1803" w:type="dxa"/>
            <w:vAlign w:val="center"/>
          </w:tcPr>
          <w:p w14:paraId="2121A964">
            <w:pPr>
              <w:ind w:firstLine="0" w:firstLineChars="0"/>
              <w:jc w:val="center"/>
            </w:pPr>
            <w:r>
              <w:rPr>
                <w:rFonts w:hint="eastAsia"/>
              </w:rPr>
              <w:t>3551</w:t>
            </w:r>
          </w:p>
        </w:tc>
        <w:tc>
          <w:tcPr>
            <w:tcW w:w="1803" w:type="dxa"/>
            <w:vAlign w:val="center"/>
          </w:tcPr>
          <w:p w14:paraId="236C310E">
            <w:pPr>
              <w:ind w:firstLine="0" w:firstLineChars="0"/>
              <w:jc w:val="center"/>
            </w:pPr>
            <w:r>
              <w:rPr>
                <w:rFonts w:hint="eastAsia"/>
              </w:rPr>
              <w:t>4.11</w:t>
            </w:r>
          </w:p>
        </w:tc>
        <w:tc>
          <w:tcPr>
            <w:tcW w:w="1803" w:type="dxa"/>
            <w:vAlign w:val="center"/>
          </w:tcPr>
          <w:p w14:paraId="08A2A3C1">
            <w:pPr>
              <w:ind w:firstLine="0" w:firstLineChars="0"/>
              <w:jc w:val="center"/>
            </w:pPr>
            <w:r>
              <w:rPr>
                <w:rFonts w:hint="eastAsia"/>
              </w:rPr>
              <w:t>0.97</w:t>
            </w:r>
          </w:p>
        </w:tc>
        <w:tc>
          <w:tcPr>
            <w:tcW w:w="1804" w:type="dxa"/>
            <w:vAlign w:val="center"/>
          </w:tcPr>
          <w:p w14:paraId="6270E965">
            <w:pPr>
              <w:ind w:firstLine="0" w:firstLineChars="0"/>
              <w:jc w:val="center"/>
            </w:pPr>
            <w:r>
              <w:rPr>
                <w:rFonts w:hint="eastAsia"/>
              </w:rPr>
              <w:t>42.5</w:t>
            </w:r>
          </w:p>
        </w:tc>
      </w:tr>
      <w:tr w14:paraId="5248EC7E">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03" w:type="dxa"/>
            <w:vAlign w:val="center"/>
          </w:tcPr>
          <w:p w14:paraId="1B8D56FE">
            <w:pPr>
              <w:ind w:firstLine="0" w:firstLineChars="0"/>
              <w:jc w:val="center"/>
            </w:pPr>
            <w:r>
              <w:rPr>
                <w:rFonts w:hint="eastAsia"/>
              </w:rPr>
              <w:t>B</w:t>
            </w:r>
          </w:p>
        </w:tc>
        <w:tc>
          <w:tcPr>
            <w:tcW w:w="1803" w:type="dxa"/>
            <w:vAlign w:val="center"/>
          </w:tcPr>
          <w:p w14:paraId="184F0772">
            <w:pPr>
              <w:ind w:firstLine="0" w:firstLineChars="0"/>
              <w:jc w:val="center"/>
            </w:pPr>
            <w:r>
              <w:rPr>
                <w:rFonts w:hint="eastAsia"/>
              </w:rPr>
              <w:t>2954</w:t>
            </w:r>
          </w:p>
        </w:tc>
        <w:tc>
          <w:tcPr>
            <w:tcW w:w="1803" w:type="dxa"/>
            <w:vAlign w:val="center"/>
          </w:tcPr>
          <w:p w14:paraId="2ADD6A98">
            <w:pPr>
              <w:ind w:firstLine="0" w:firstLineChars="0"/>
              <w:jc w:val="center"/>
            </w:pPr>
            <w:r>
              <w:rPr>
                <w:rFonts w:hint="eastAsia"/>
              </w:rPr>
              <w:t>5.01</w:t>
            </w:r>
          </w:p>
        </w:tc>
        <w:tc>
          <w:tcPr>
            <w:tcW w:w="1803" w:type="dxa"/>
            <w:vAlign w:val="center"/>
          </w:tcPr>
          <w:p w14:paraId="0B4F1C51">
            <w:pPr>
              <w:ind w:firstLine="0" w:firstLineChars="0"/>
              <w:jc w:val="center"/>
            </w:pPr>
            <w:r>
              <w:rPr>
                <w:rFonts w:hint="eastAsia"/>
              </w:rPr>
              <w:t>0.80</w:t>
            </w:r>
          </w:p>
        </w:tc>
        <w:tc>
          <w:tcPr>
            <w:tcW w:w="1804" w:type="dxa"/>
            <w:vAlign w:val="center"/>
          </w:tcPr>
          <w:p w14:paraId="74FE13C2">
            <w:pPr>
              <w:ind w:firstLine="0" w:firstLineChars="0"/>
              <w:jc w:val="center"/>
            </w:pPr>
            <w:r>
              <w:rPr>
                <w:rFonts w:hint="eastAsia"/>
              </w:rPr>
              <w:t>38.2</w:t>
            </w:r>
          </w:p>
        </w:tc>
      </w:tr>
      <w:tr w14:paraId="0958F20A">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03" w:type="dxa"/>
            <w:vAlign w:val="center"/>
          </w:tcPr>
          <w:p w14:paraId="52A570B8">
            <w:pPr>
              <w:ind w:firstLine="0" w:firstLineChars="0"/>
              <w:jc w:val="center"/>
            </w:pPr>
            <w:r>
              <w:rPr>
                <w:rFonts w:hint="eastAsia"/>
              </w:rPr>
              <w:t>C</w:t>
            </w:r>
          </w:p>
        </w:tc>
        <w:tc>
          <w:tcPr>
            <w:tcW w:w="1803" w:type="dxa"/>
            <w:vAlign w:val="center"/>
          </w:tcPr>
          <w:p w14:paraId="2FE21F9B">
            <w:pPr>
              <w:ind w:firstLine="0" w:firstLineChars="0"/>
              <w:jc w:val="center"/>
            </w:pPr>
            <w:r>
              <w:rPr>
                <w:rFonts w:hint="eastAsia"/>
              </w:rPr>
              <w:t>2235</w:t>
            </w:r>
          </w:p>
        </w:tc>
        <w:tc>
          <w:tcPr>
            <w:tcW w:w="1803" w:type="dxa"/>
            <w:vAlign w:val="center"/>
          </w:tcPr>
          <w:p w14:paraId="10E35235">
            <w:pPr>
              <w:ind w:firstLine="0" w:firstLineChars="0"/>
              <w:jc w:val="center"/>
            </w:pPr>
            <w:r>
              <w:rPr>
                <w:rFonts w:hint="eastAsia"/>
              </w:rPr>
              <w:t>6.63</w:t>
            </w:r>
          </w:p>
        </w:tc>
        <w:tc>
          <w:tcPr>
            <w:tcW w:w="1803" w:type="dxa"/>
            <w:vAlign w:val="center"/>
          </w:tcPr>
          <w:p w14:paraId="7BD56702">
            <w:pPr>
              <w:ind w:firstLine="0" w:firstLineChars="0"/>
              <w:jc w:val="center"/>
            </w:pPr>
            <w:r>
              <w:rPr>
                <w:rFonts w:hint="eastAsia"/>
              </w:rPr>
              <w:t>0.61</w:t>
            </w:r>
          </w:p>
        </w:tc>
        <w:tc>
          <w:tcPr>
            <w:tcW w:w="1804" w:type="dxa"/>
            <w:vAlign w:val="center"/>
          </w:tcPr>
          <w:p w14:paraId="44DDBAED">
            <w:pPr>
              <w:ind w:firstLine="0" w:firstLineChars="0"/>
              <w:jc w:val="center"/>
            </w:pPr>
            <w:r>
              <w:rPr>
                <w:rFonts w:hint="eastAsia"/>
              </w:rPr>
              <w:t>34.5</w:t>
            </w:r>
          </w:p>
        </w:tc>
      </w:tr>
      <w:tr w14:paraId="366A7B02">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03" w:type="dxa"/>
            <w:vAlign w:val="center"/>
          </w:tcPr>
          <w:p w14:paraId="344A183D">
            <w:pPr>
              <w:ind w:firstLine="0" w:firstLineChars="0"/>
              <w:jc w:val="center"/>
            </w:pPr>
            <w:r>
              <w:rPr>
                <w:rFonts w:hint="eastAsia"/>
              </w:rPr>
              <w:t>D</w:t>
            </w:r>
          </w:p>
        </w:tc>
        <w:tc>
          <w:tcPr>
            <w:tcW w:w="1803" w:type="dxa"/>
            <w:vAlign w:val="center"/>
          </w:tcPr>
          <w:p w14:paraId="1990B541">
            <w:pPr>
              <w:ind w:firstLine="0" w:firstLineChars="0"/>
              <w:jc w:val="center"/>
            </w:pPr>
            <w:r>
              <w:rPr>
                <w:rFonts w:hint="eastAsia"/>
              </w:rPr>
              <w:t>1481</w:t>
            </w:r>
          </w:p>
        </w:tc>
        <w:tc>
          <w:tcPr>
            <w:tcW w:w="1803" w:type="dxa"/>
            <w:vAlign w:val="center"/>
          </w:tcPr>
          <w:p w14:paraId="5F8630F7">
            <w:pPr>
              <w:ind w:firstLine="0" w:firstLineChars="0"/>
              <w:jc w:val="center"/>
            </w:pPr>
            <w:r>
              <w:rPr>
                <w:rFonts w:hint="eastAsia"/>
              </w:rPr>
              <w:t>10.02</w:t>
            </w:r>
          </w:p>
        </w:tc>
        <w:tc>
          <w:tcPr>
            <w:tcW w:w="1803" w:type="dxa"/>
            <w:vAlign w:val="center"/>
          </w:tcPr>
          <w:p w14:paraId="3A114FF8">
            <w:pPr>
              <w:ind w:firstLine="0" w:firstLineChars="0"/>
              <w:jc w:val="center"/>
            </w:pPr>
            <w:r>
              <w:rPr>
                <w:rFonts w:hint="eastAsia"/>
              </w:rPr>
              <w:t>0.42</w:t>
            </w:r>
          </w:p>
        </w:tc>
        <w:tc>
          <w:tcPr>
            <w:tcW w:w="1804" w:type="dxa"/>
            <w:vAlign w:val="center"/>
          </w:tcPr>
          <w:p w14:paraId="4535A793">
            <w:pPr>
              <w:ind w:firstLine="0" w:firstLineChars="0"/>
              <w:jc w:val="center"/>
            </w:pPr>
            <w:r>
              <w:rPr>
                <w:rFonts w:hint="eastAsia"/>
              </w:rPr>
              <w:t>31.0</w:t>
            </w:r>
          </w:p>
        </w:tc>
      </w:tr>
      <w:tr w14:paraId="1A4B4AB5">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03" w:type="dxa"/>
            <w:vAlign w:val="center"/>
          </w:tcPr>
          <w:p w14:paraId="2DFDD5F1">
            <w:pPr>
              <w:ind w:firstLine="0" w:firstLineChars="0"/>
              <w:jc w:val="center"/>
            </w:pPr>
            <w:r>
              <w:rPr>
                <w:rFonts w:hint="eastAsia"/>
              </w:rPr>
              <w:t>E</w:t>
            </w:r>
          </w:p>
        </w:tc>
        <w:tc>
          <w:tcPr>
            <w:tcW w:w="1803" w:type="dxa"/>
            <w:vAlign w:val="center"/>
          </w:tcPr>
          <w:p w14:paraId="7E054CB3">
            <w:pPr>
              <w:ind w:firstLine="0" w:firstLineChars="0"/>
              <w:jc w:val="center"/>
            </w:pPr>
            <w:r>
              <w:rPr>
                <w:rFonts w:hint="eastAsia"/>
              </w:rPr>
              <w:t>0.517</w:t>
            </w:r>
          </w:p>
        </w:tc>
        <w:tc>
          <w:tcPr>
            <w:tcW w:w="1803" w:type="dxa"/>
            <w:vAlign w:val="center"/>
          </w:tcPr>
          <w:p w14:paraId="2C5C5A2D">
            <w:pPr>
              <w:ind w:firstLine="0" w:firstLineChars="0"/>
              <w:jc w:val="center"/>
            </w:pPr>
            <w:r>
              <w:rPr>
                <w:rFonts w:hint="eastAsia"/>
              </w:rPr>
              <w:t>29.45</w:t>
            </w:r>
          </w:p>
        </w:tc>
        <w:tc>
          <w:tcPr>
            <w:tcW w:w="1803" w:type="dxa"/>
            <w:vAlign w:val="center"/>
          </w:tcPr>
          <w:p w14:paraId="6DFC4098">
            <w:pPr>
              <w:ind w:firstLine="0" w:firstLineChars="0"/>
              <w:jc w:val="center"/>
            </w:pPr>
            <w:r>
              <w:rPr>
                <w:rFonts w:hint="eastAsia"/>
              </w:rPr>
              <w:t>0.24</w:t>
            </w:r>
          </w:p>
        </w:tc>
        <w:tc>
          <w:tcPr>
            <w:tcW w:w="1804" w:type="dxa"/>
            <w:vAlign w:val="center"/>
          </w:tcPr>
          <w:p w14:paraId="0146F5AB">
            <w:pPr>
              <w:ind w:firstLine="0" w:firstLineChars="0"/>
              <w:jc w:val="center"/>
            </w:pPr>
            <w:r>
              <w:rPr>
                <w:rFonts w:hint="eastAsia"/>
              </w:rPr>
              <w:t>26.5</w:t>
            </w:r>
          </w:p>
        </w:tc>
      </w:tr>
    </w:tbl>
    <w:p w14:paraId="17776685">
      <w:pPr>
        <w:pStyle w:val="51"/>
        <w:spacing w:before="163"/>
      </w:pPr>
      <w:r>
        <w:rPr>
          <w:rFonts w:eastAsiaTheme="minorEastAsia"/>
        </w:rPr>
        <w:t xml:space="preserve"> Prediction Results for Each Scenari</w:t>
      </w:r>
    </w:p>
    <w:p w14:paraId="627DDBD9">
      <w:pPr>
        <w:ind w:firstLine="480"/>
      </w:pPr>
    </w:p>
    <w:p w14:paraId="030E1E05">
      <w:pPr>
        <w:ind w:firstLine="480"/>
        <w:rPr>
          <w:rFonts w:hint="eastAsia"/>
        </w:rPr>
      </w:pPr>
      <w:r>
        <w:t xml:space="preserve">At the end of </w:t>
      </w:r>
      <w:r>
        <w:rPr>
          <w:b/>
          <w:bCs/>
        </w:rPr>
        <w:t>Figure 4</w:t>
      </w:r>
      <w:r>
        <w:t xml:space="preserve"> (near the voltage threshold), a marked </w:t>
      </w:r>
      <w:r>
        <w:rPr>
          <w:b/>
          <w:bCs/>
        </w:rPr>
        <w:t>acceleration</w:t>
      </w:r>
      <w:r>
        <w:t xml:space="preserve"> in the SOC's decline rate becomes apparent, consistent with negative impedance characteristics. As terminal voltage decreases, current must increase in the opposite direction due to CPL, triggering a</w:t>
      </w:r>
      <w:r>
        <w:rPr>
          <w:b/>
          <w:bCs/>
        </w:rPr>
        <w:t xml:space="preserve"> positive feedback</w:t>
      </w:r>
      <w:r>
        <w:t xml:space="preserve"> loop where energy losses such as Joule heating rise, thereby accelerating the SOC's decline</w:t>
      </w:r>
      <w:r>
        <w:rPr>
          <w:rFonts w:hint="eastAsia"/>
        </w:rPr>
        <w:t>:</w:t>
      </w:r>
    </w:p>
    <w:p w14:paraId="0150DE8B">
      <w:pPr>
        <w:ind w:firstLine="480"/>
      </w:pPr>
    </w:p>
    <w:p w14:paraId="5ACC38BA">
      <w:pPr>
        <w:pStyle w:val="51"/>
        <w:numPr>
          <w:ilvl w:val="0"/>
          <w:numId w:val="0"/>
        </w:numPr>
        <w:spacing w:before="163"/>
      </w:pPr>
      <w:r>
        <w:drawing>
          <wp:inline distT="0" distB="0" distL="0" distR="0">
            <wp:extent cx="5711190" cy="5509260"/>
            <wp:effectExtent l="0" t="0" r="3810" b="0"/>
            <wp:docPr id="19899354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935468" name="图片 1"/>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a:xfrm>
                      <a:off x="0" y="0"/>
                      <a:ext cx="5730779" cy="5528500"/>
                    </a:xfrm>
                    <a:prstGeom prst="rect">
                      <a:avLst/>
                    </a:prstGeom>
                    <a:noFill/>
                    <a:ln>
                      <a:noFill/>
                    </a:ln>
                  </pic:spPr>
                </pic:pic>
              </a:graphicData>
            </a:graphic>
          </wp:inline>
        </w:drawing>
      </w:r>
    </w:p>
    <w:p w14:paraId="22FD9906">
      <w:pPr>
        <w:pStyle w:val="50"/>
        <w:spacing w:after="163"/>
        <w:rPr>
          <w:rFonts w:eastAsiaTheme="minorEastAsia"/>
        </w:rPr>
      </w:pPr>
      <w:r>
        <w:rPr>
          <w:rFonts w:eastAsiaTheme="minorEastAsia"/>
        </w:rPr>
        <w:t>Each row corresponds to a distinct usage scenario: Gaming (red), Navigation (orange), Video Streaming (purple), Online Chatting (blue), and Standby (green); each column represents SOC levels of 100%, 75%, 50%, and 25%. Twenty figures depict the variation curves of SOC decreasing to voltage thresholds across five usage scenarios multiplied by four initial charge levels. The legend indicates the Time-to-Event (TTE) for each state.</w:t>
      </w:r>
    </w:p>
    <w:p w14:paraId="1841FC6B">
      <w:pPr>
        <w:ind w:firstLine="480"/>
      </w:pPr>
    </w:p>
    <w:p w14:paraId="278D2621">
      <w:pPr>
        <w:pStyle w:val="4"/>
      </w:pPr>
      <w:bookmarkStart w:id="33" w:name="_Toc19000"/>
      <w:r>
        <w:t>Error Analysis and Quantification of Uncertainty</w:t>
      </w:r>
      <w:bookmarkEnd w:id="33"/>
    </w:p>
    <w:p w14:paraId="0E63B4EC">
      <w:pPr>
        <w:ind w:firstLine="480"/>
      </w:pPr>
      <w:r>
        <w:t>This section systematically assesses the reliability of the forecast results through numerical stability verification, model validation, scenario analysis, and Monte Carlo simulation.</w:t>
      </w:r>
    </w:p>
    <w:p w14:paraId="6D1AC547">
      <w:pPr>
        <w:ind w:firstLine="480"/>
      </w:pPr>
      <w:r>
        <w:t>Verifying the accuracy of ODE solvers under CPL nonlinear constraints using the step size halving method. Simulation results compared with step size</w:t>
      </w:r>
      <w:r>
        <w:rPr>
          <w:rFonts w:hint="eastAsia"/>
        </w:rPr>
        <w:t xml:space="preserve"> </w:t>
      </w:r>
      <w:r>
        <w:t xml:space="preserve"> </w:t>
      </w:r>
      <w:r>
        <w:rPr>
          <w:position w:val="-9"/>
        </w:rPr>
        <w:object>
          <v:shape id="_x0000_i1131" o:spt="75" type="#_x0000_t75" style="height:16pt;width:108.65pt;" o:ole="t" filled="f" coordsize="21600,21600">
            <v:path/>
            <v:fill on="f" focussize="0,0"/>
            <v:stroke/>
            <v:imagedata r:id="rId213" o:title=""/>
            <o:lock v:ext="edit" aspectratio="t"/>
            <w10:wrap type="none"/>
            <w10:anchorlock/>
          </v:shape>
          <o:OLEObject Type="Embed" ProgID="Equation.AxMath" ShapeID="_x0000_i1131" DrawAspect="Content" ObjectID="_1468075830" r:id="rId212">
            <o:LockedField>false</o:LockedField>
          </o:OLEObject>
        </w:object>
      </w:r>
      <w:r>
        <w:rPr>
          <w:rFonts w:hint="eastAsia"/>
          <w:lang w:eastAsia="zh-CN"/>
        </w:rPr>
        <w:t xml:space="preserve">, </w:t>
      </w:r>
      <w:r>
        <w:rPr>
          <w:rFonts w:hint="eastAsia"/>
        </w:rPr>
        <w:t xml:space="preserve">require </w:t>
      </w:r>
      <w:r>
        <w:rPr>
          <w:position w:val="-9"/>
        </w:rPr>
        <w:object>
          <v:shape id="_x0000_i1132" o:spt="75" type="#_x0000_t75" style="height:16pt;width:103.35pt;" o:ole="t" filled="f" coordsize="21600,21600">
            <v:path/>
            <v:fill on="f" focussize="0,0"/>
            <v:stroke/>
            <v:imagedata r:id="rId215" o:title=""/>
            <o:lock v:ext="edit" aspectratio="t"/>
            <w10:wrap type="none"/>
            <w10:anchorlock/>
          </v:shape>
          <o:OLEObject Type="Embed" ProgID="Equation.AxMath" ShapeID="_x0000_i1132" DrawAspect="Content" ObjectID="_1468075831" r:id="rId214">
            <o:LockedField>false</o:LockedField>
          </o:OLEObject>
        </w:object>
      </w:r>
      <w:r>
        <w:rPr>
          <w:rFonts w:hint="eastAsia"/>
        </w:rPr>
        <w:t xml:space="preserve"> and TTE </w:t>
      </w:r>
      <w:r>
        <w:t>Relative error</w:t>
      </w:r>
      <w:r>
        <w:rPr>
          <w:rFonts w:hint="eastAsia"/>
        </w:rPr>
        <w:t xml:space="preserve"> </w:t>
      </w:r>
      <w:r>
        <w:rPr>
          <w:position w:val="-9"/>
        </w:rPr>
        <w:object>
          <v:shape id="_x0000_i1133" o:spt="75" type="#_x0000_t75" style="height:15.35pt;width:32pt;" o:ole="t" filled="f" coordsize="21600,21600">
            <v:path/>
            <v:fill on="f" focussize="0,0"/>
            <v:stroke/>
            <v:imagedata r:id="rId217" o:title=""/>
            <o:lock v:ext="edit" aspectratio="t"/>
            <w10:wrap type="none"/>
            <w10:anchorlock/>
          </v:shape>
          <o:OLEObject Type="Embed" ProgID="Equation.AxMath" ShapeID="_x0000_i1133" DrawAspect="Content" ObjectID="_1468075832" r:id="rId216">
            <o:LockedField>false</o:LockedField>
          </o:OLEObject>
        </w:object>
      </w:r>
      <w:r>
        <w:t>.</w:t>
      </w:r>
    </w:p>
    <w:p w14:paraId="5C27DF04">
      <w:pPr>
        <w:snapToGrid w:val="0"/>
        <w:ind w:firstLine="480"/>
      </w:pPr>
    </w:p>
    <w:p w14:paraId="00A39684">
      <w:pPr>
        <w:ind w:firstLine="0" w:firstLineChars="0"/>
        <w:jc w:val="center"/>
      </w:pPr>
      <w:r>
        <w:rPr>
          <w:rFonts w:hint="eastAsia"/>
        </w:rPr>
        <w:drawing>
          <wp:inline distT="0" distB="0" distL="0" distR="0">
            <wp:extent cx="4817745" cy="3094990"/>
            <wp:effectExtent l="0" t="0" r="1905" b="0"/>
            <wp:docPr id="18838240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824037" name="图片 7"/>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a:xfrm>
                      <a:off x="0" y="0"/>
                      <a:ext cx="4825737" cy="3100618"/>
                    </a:xfrm>
                    <a:prstGeom prst="rect">
                      <a:avLst/>
                    </a:prstGeom>
                    <a:noFill/>
                    <a:ln>
                      <a:noFill/>
                    </a:ln>
                  </pic:spPr>
                </pic:pic>
              </a:graphicData>
            </a:graphic>
          </wp:inline>
        </w:drawing>
      </w:r>
    </w:p>
    <w:p w14:paraId="1015A373">
      <w:pPr>
        <w:pStyle w:val="50"/>
        <w:spacing w:after="163"/>
      </w:pPr>
      <w:r>
        <w:t>Numerical Convergence Verification</w:t>
      </w:r>
    </w:p>
    <w:p w14:paraId="7FDC3703">
      <w:pPr>
        <w:snapToGrid w:val="0"/>
        <w:ind w:firstLine="480"/>
      </w:pPr>
      <w:r>
        <w:t xml:space="preserve">State of Charge deviation under all test conditions </w:t>
      </w:r>
      <w:r>
        <w:rPr>
          <w:position w:val="-9"/>
        </w:rPr>
        <w:object>
          <v:shape id="_x0000_i1134" o:spt="75" type="#_x0000_t75" style="height:15.35pt;width:36pt;" o:ole="t" filled="f" coordsize="21600,21600">
            <v:path/>
            <v:fill on="f" focussize="0,0"/>
            <v:stroke/>
            <v:imagedata r:id="rId220" o:title=""/>
            <o:lock v:ext="edit" aspectratio="t"/>
            <w10:wrap type="none"/>
            <w10:anchorlock/>
          </v:shape>
          <o:OLEObject Type="Embed" ProgID="Equation.AxMath" ShapeID="_x0000_i1134" DrawAspect="Content" ObjectID="_1468075833" r:id="rId219">
            <o:LockedField>false</o:LockedField>
          </o:OLEObject>
        </w:object>
      </w:r>
      <w:r>
        <w:rPr>
          <w:rFonts w:hint="eastAsia"/>
          <w:lang w:eastAsia="zh-CN"/>
        </w:rPr>
        <w:t xml:space="preserve">, </w:t>
      </w:r>
      <w:r>
        <w:t xml:space="preserve"> TTE error </w:t>
      </w:r>
      <w:r>
        <w:rPr>
          <w:position w:val="-9"/>
        </w:rPr>
        <w:object>
          <v:shape id="_x0000_i1135" o:spt="75" type="#_x0000_t75" style="height:15.35pt;width:30.65pt;" o:ole="t" filled="f" coordsize="21600,21600">
            <v:path/>
            <v:fill on="f" focussize="0,0"/>
            <v:stroke/>
            <v:imagedata r:id="rId222" o:title=""/>
            <o:lock v:ext="edit" aspectratio="t"/>
            <w10:wrap type="none"/>
            <w10:anchorlock/>
          </v:shape>
          <o:OLEObject Type="Embed" ProgID="Equation.AxMath" ShapeID="_x0000_i1135" DrawAspect="Content" ObjectID="_1468075834" r:id="rId221">
            <o:LockedField>false</o:LockedField>
          </o:OLEObject>
        </w:object>
      </w:r>
      <w:r>
        <w:rPr>
          <w:rFonts w:hint="eastAsia"/>
          <w:lang w:eastAsia="zh-CN"/>
        </w:rPr>
        <w:t xml:space="preserve">, </w:t>
      </w:r>
      <w:r>
        <w:t>Demonstrate that the RK4 solver maintains high stability even at the edge of voltage collapse.</w:t>
      </w:r>
    </w:p>
    <w:p w14:paraId="7DDC85F2">
      <w:pPr>
        <w:ind w:firstLine="480"/>
      </w:pPr>
      <w:r>
        <w:t>Compare the predictions from this paper with database data to evaluate the model's accuracy.</w:t>
      </w:r>
      <w:r>
        <w:rPr>
          <w:rFonts w:hint="eastAsia"/>
        </w:rPr>
        <w:drawing>
          <wp:inline distT="0" distB="0" distL="0" distR="0">
            <wp:extent cx="6180455" cy="2175510"/>
            <wp:effectExtent l="0" t="0" r="0" b="0"/>
            <wp:docPr id="86596533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965331" name="图片 8"/>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a:xfrm>
                      <a:off x="0" y="0"/>
                      <a:ext cx="6184231" cy="2177140"/>
                    </a:xfrm>
                    <a:prstGeom prst="rect">
                      <a:avLst/>
                    </a:prstGeom>
                    <a:noFill/>
                    <a:ln>
                      <a:noFill/>
                    </a:ln>
                  </pic:spPr>
                </pic:pic>
              </a:graphicData>
            </a:graphic>
          </wp:inline>
        </w:drawing>
      </w:r>
    </w:p>
    <w:p w14:paraId="494385F6">
      <w:pPr>
        <w:pStyle w:val="50"/>
        <w:spacing w:after="163"/>
      </w:pPr>
      <w:r>
        <w:t xml:space="preserve"> Model Validation Comparison</w:t>
      </w:r>
    </w:p>
    <w:p w14:paraId="6290C5D9">
      <w:pPr>
        <w:ind w:firstLine="480"/>
      </w:pPr>
      <w:r>
        <w:t>It can be observed that the model predictions (blue bars) consistently fall within the confidence intervals of the literature data (grey range). In the "video streaming" and "navigation" scenarios, the relative error is strictly maintained below 5%; even in the most dynamic "intensive gaming" scenario, the error remains at just +4.1%. This demonstrates that the model parameter set effectively captures battery discharge characteristics across varying current rates.</w:t>
      </w:r>
    </w:p>
    <w:p w14:paraId="4C747D28">
      <w:pPr>
        <w:ind w:firstLine="0" w:firstLineChars="0"/>
        <w:jc w:val="center"/>
      </w:pPr>
      <w:r>
        <w:drawing>
          <wp:inline distT="0" distB="0" distL="0" distR="0">
            <wp:extent cx="4199255" cy="3068320"/>
            <wp:effectExtent l="0" t="0" r="0" b="0"/>
            <wp:docPr id="21087016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701677" name="图片 1"/>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a:xfrm>
                      <a:off x="0" y="0"/>
                      <a:ext cx="4206989" cy="3074014"/>
                    </a:xfrm>
                    <a:prstGeom prst="rect">
                      <a:avLst/>
                    </a:prstGeom>
                    <a:noFill/>
                    <a:ln>
                      <a:noFill/>
                    </a:ln>
                  </pic:spPr>
                </pic:pic>
              </a:graphicData>
            </a:graphic>
          </wp:inline>
        </w:drawing>
      </w:r>
    </w:p>
    <w:p w14:paraId="7F62E7CA">
      <w:pPr>
        <w:pStyle w:val="50"/>
        <w:spacing w:after="163"/>
      </w:pPr>
      <w:r>
        <w:t>Model Applicability Matrix</w:t>
      </w:r>
    </w:p>
    <w:p w14:paraId="2E5BAAF1">
      <w:pPr>
        <w:ind w:firstLine="482"/>
      </w:pPr>
      <w:r>
        <w:rPr>
          <w:rFonts w:hint="eastAsia"/>
          <w:b/>
          <w:bCs/>
        </w:rPr>
        <w:t xml:space="preserve">Figure </w:t>
      </w:r>
      <w:r>
        <w:rPr>
          <w:rFonts w:hint="eastAsia"/>
          <w:b/>
          <w:bCs/>
          <w:lang w:val="en-US" w:eastAsia="zh-CN"/>
        </w:rPr>
        <w:t>7</w:t>
      </w:r>
      <w:r>
        <w:rPr>
          <w:rFonts w:hint="eastAsia"/>
        </w:rPr>
        <w:t xml:space="preserve">: </w:t>
      </w:r>
      <w:r>
        <w:t>The heatmap visually delineates the model's reliability boundaries. The green "safe zone" encompasses the vast majority of areas within normal temperatures (10°C to 40°C) and medium-to-high state of charge (SOC &gt; 20%), where the model's predictions are highly accurate. The deep red area in the lower left corner (Temp &lt; 0°C and SOC &lt; 15%) is marked as the "voltage collapse risk zone". Within this zone, a strong coupling occurs between the surge in internal resistance caused by low temperatures and the abrupt drop in open-circuit voltage at low SOC.</w:t>
      </w:r>
      <w:r>
        <w:rPr>
          <w:rFonts w:hint="eastAsia"/>
        </w:rPr>
        <w:t xml:space="preserve"> </w:t>
      </w:r>
    </w:p>
    <w:p w14:paraId="38C9B2C2">
      <w:pPr>
        <w:ind w:firstLine="480"/>
      </w:pPr>
    </w:p>
    <w:p w14:paraId="04293107">
      <w:pPr>
        <w:pStyle w:val="4"/>
      </w:pPr>
      <w:bookmarkStart w:id="34" w:name="_Toc30951"/>
      <w:r>
        <w:t>Identification of Key Parameters</w:t>
      </w:r>
      <w:bookmarkEnd w:id="34"/>
    </w:p>
    <w:p w14:paraId="766184B5">
      <w:pPr>
        <w:ind w:firstLine="0" w:firstLineChars="0"/>
        <w:jc w:val="center"/>
      </w:pPr>
      <w:r>
        <w:drawing>
          <wp:inline distT="0" distB="0" distL="0" distR="0">
            <wp:extent cx="5248910" cy="2828290"/>
            <wp:effectExtent l="0" t="0" r="8890" b="0"/>
            <wp:docPr id="7494661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66145" name="图片 2"/>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a:xfrm>
                      <a:off x="0" y="0"/>
                      <a:ext cx="5262845" cy="2835660"/>
                    </a:xfrm>
                    <a:prstGeom prst="rect">
                      <a:avLst/>
                    </a:prstGeom>
                    <a:noFill/>
                    <a:ln>
                      <a:noFill/>
                    </a:ln>
                  </pic:spPr>
                </pic:pic>
              </a:graphicData>
            </a:graphic>
          </wp:inline>
        </w:drawing>
      </w:r>
    </w:p>
    <w:p w14:paraId="1555C17E">
      <w:pPr>
        <w:pStyle w:val="50"/>
        <w:spacing w:after="163"/>
      </w:pPr>
      <w:r>
        <w:t>Sensitivity Tornado Diagram</w:t>
      </w:r>
    </w:p>
    <w:p w14:paraId="02D88853">
      <w:pPr>
        <w:ind w:firstLine="482"/>
      </w:pPr>
      <w:r>
        <w:rPr>
          <w:rFonts w:hint="eastAsia"/>
          <w:b/>
          <w:bCs/>
        </w:rPr>
        <w:t xml:space="preserve">Figure </w:t>
      </w:r>
      <w:r>
        <w:rPr>
          <w:rFonts w:hint="eastAsia"/>
          <w:b/>
          <w:bCs/>
          <w:lang w:val="en-US" w:eastAsia="zh-CN"/>
        </w:rPr>
        <w:t>8</w:t>
      </w:r>
      <w:r>
        <w:rPr>
          <w:rFonts w:hint="eastAsia"/>
        </w:rPr>
        <w:t xml:space="preserve"> </w:t>
      </w:r>
      <w:r>
        <w:t>The decisive factors affecting battery life have been clearly identified. Weak Signal environments topped the list with a TTE reduction of -39.6%, demonstrating a far greater impact than conventionally recognised factors (such as gaming or high brightness). Low temperatures followed closely, causing a 31.5% battery drain. Conversely, reducing screen brightness demonstrated the strongest positive impact (+26.5%), making it the most effective user-controlled method for extending battery life.</w:t>
      </w:r>
    </w:p>
    <w:p w14:paraId="07A7B3D5">
      <w:pPr>
        <w:ind w:firstLine="480"/>
      </w:pPr>
      <w:r>
        <w:t>On the contrary,</w:t>
      </w:r>
      <w:r>
        <w:rPr>
          <w:rFonts w:hint="eastAsia"/>
        </w:rPr>
        <w:t xml:space="preserve"> </w:t>
      </w:r>
      <w:r>
        <w:rPr>
          <w:rFonts w:hint="eastAsia"/>
          <w:b/>
          <w:bCs/>
        </w:rPr>
        <w:t xml:space="preserve">Figure </w:t>
      </w:r>
      <w:r>
        <w:rPr>
          <w:rFonts w:hint="eastAsia"/>
          <w:b/>
          <w:bCs/>
          <w:lang w:val="en-US" w:eastAsia="zh-CN"/>
        </w:rPr>
        <w:t>9</w:t>
      </w:r>
      <w:r>
        <w:t xml:space="preserve"> This reveals a significant discrepancy between public perception and factual data. Features widely believed to be major power drains—such as GPS positioning and 5G signal switching—actually exert less than 4% influence on total time to e</w:t>
      </w:r>
      <w:r>
        <w:rPr>
          <w:rFonts w:hint="eastAsia"/>
        </w:rPr>
        <w:t>mpty</w:t>
      </w:r>
      <w:r>
        <w:t xml:space="preserve"> (TTE) in terms of physical power consumption. This finding suggests that when designing power-saving modes, we should avoid indiscriminately disabling background services with negligible impact, instead concentrating resources on optimising signal processing and screen management</w:t>
      </w:r>
    </w:p>
    <w:p w14:paraId="12909AAE">
      <w:pPr>
        <w:ind w:firstLine="480"/>
      </w:pPr>
      <w:r>
        <w:t>.</w:t>
      </w:r>
      <w:r>
        <w:drawing>
          <wp:inline distT="0" distB="0" distL="0" distR="0">
            <wp:extent cx="4549775" cy="2536190"/>
            <wp:effectExtent l="0" t="0" r="3175" b="0"/>
            <wp:docPr id="17629420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42014" name="图片 8"/>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a:xfrm>
                      <a:off x="0" y="0"/>
                      <a:ext cx="4564500" cy="2544272"/>
                    </a:xfrm>
                    <a:prstGeom prst="rect">
                      <a:avLst/>
                    </a:prstGeom>
                    <a:noFill/>
                    <a:ln>
                      <a:noFill/>
                    </a:ln>
                  </pic:spPr>
                </pic:pic>
              </a:graphicData>
            </a:graphic>
          </wp:inline>
        </w:drawing>
      </w:r>
    </w:p>
    <w:p w14:paraId="1E213FDE">
      <w:pPr>
        <w:pStyle w:val="50"/>
        <w:spacing w:after="163"/>
      </w:pPr>
      <w:r>
        <w:t>Correction of User Misconceptions</w:t>
      </w:r>
    </w:p>
    <w:p w14:paraId="7B05BADE">
      <w:pPr>
        <w:ind w:firstLine="480"/>
      </w:pPr>
    </w:p>
    <w:p w14:paraId="24617DF7">
      <w:pPr>
        <w:pStyle w:val="2"/>
      </w:pPr>
      <w:bookmarkStart w:id="35" w:name="_Toc16567"/>
      <w:r>
        <w:t>Model Sensitivity Analysis</w:t>
      </w:r>
      <w:bookmarkEnd w:id="35"/>
    </w:p>
    <w:p w14:paraId="78C2D251">
      <w:pPr>
        <w:ind w:firstLine="480"/>
      </w:pPr>
      <w:r>
        <w:t>In this section, we systematically examine how our model predictions vary in response to changes in parameter values, modeling assumptions, and stochastic usage patterns. We aim to identify the root causes of the "unpredictability" reported by users.</w:t>
      </w:r>
    </w:p>
    <w:p w14:paraId="650B58F2">
      <w:pPr>
        <w:ind w:firstLine="0" w:firstLineChars="0"/>
        <w:rPr>
          <w:b/>
          <w:bCs/>
        </w:rPr>
      </w:pPr>
      <w:r>
        <w:rPr>
          <w:b/>
          <w:bCs/>
        </w:rPr>
        <w:t>Global Parameter Sensitivity: Sobol Indices Decomposition</w:t>
      </w:r>
    </w:p>
    <w:p w14:paraId="3F29CC8A">
      <w:pPr>
        <w:ind w:firstLine="480"/>
      </w:pPr>
      <w:r>
        <w:t>To quantify the contribution of input uncertainties to the Time-to-Empty (TTE) variance, we employ the variance-based Sobol method (Saltelli sampling,</w:t>
      </w:r>
      <w:r>
        <w:rPr>
          <w:position w:val="-9"/>
        </w:rPr>
        <w:object>
          <v:shape id="_x0000_i1136" o:spt="75" type="#_x0000_t75" style="height:15.35pt;width:54pt;" o:ole="t" filled="f" coordsize="21600,21600">
            <v:path/>
            <v:fill on="f" focussize="0,0"/>
            <v:stroke/>
            <v:imagedata r:id="rId228" o:title=""/>
            <o:lock v:ext="edit" aspectratio="t"/>
            <w10:wrap type="none"/>
            <w10:anchorlock/>
          </v:shape>
          <o:OLEObject Type="Embed" ProgID="Equation.AxMath" ShapeID="_x0000_i1136" DrawAspect="Content" ObjectID="_1468075835" r:id="rId227">
            <o:LockedField>false</o:LockedField>
          </o:OLEObject>
        </w:object>
      </w:r>
    </w:p>
    <w:p w14:paraId="657BF79A">
      <w:pPr>
        <w:ind w:firstLine="0" w:firstLineChars="0"/>
        <w:jc w:val="center"/>
      </w:pPr>
      <w:r>
        <w:drawing>
          <wp:inline distT="0" distB="0" distL="0" distR="0">
            <wp:extent cx="4040505" cy="2378710"/>
            <wp:effectExtent l="0" t="0" r="0" b="2540"/>
            <wp:docPr id="161756182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561827" name="图片 9"/>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a:xfrm>
                      <a:off x="0" y="0"/>
                      <a:ext cx="4063492" cy="2392649"/>
                    </a:xfrm>
                    <a:prstGeom prst="rect">
                      <a:avLst/>
                    </a:prstGeom>
                    <a:noFill/>
                    <a:ln>
                      <a:noFill/>
                    </a:ln>
                  </pic:spPr>
                </pic:pic>
              </a:graphicData>
            </a:graphic>
          </wp:inline>
        </w:drawing>
      </w:r>
    </w:p>
    <w:p w14:paraId="6E113C57">
      <w:pPr>
        <w:pStyle w:val="50"/>
        <w:spacing w:after="163"/>
      </w:pPr>
      <w:r>
        <w:t>Sobol Sensitivity Indices</w:t>
      </w:r>
    </w:p>
    <w:p w14:paraId="2BDB200E">
      <w:pPr>
        <w:pStyle w:val="50"/>
        <w:numPr>
          <w:ilvl w:val="0"/>
          <w:numId w:val="0"/>
        </w:numPr>
        <w:snapToGrid w:val="0"/>
        <w:spacing w:after="163"/>
        <w:jc w:val="left"/>
        <w:rPr>
          <w:rFonts w:eastAsiaTheme="minorEastAsia"/>
          <w:b w:val="0"/>
        </w:rPr>
      </w:pPr>
      <w:r>
        <w:rPr>
          <w:bCs/>
        </w:rPr>
        <w:t xml:space="preserve">Figure </w:t>
      </w:r>
      <w:r>
        <w:rPr>
          <w:rFonts w:hint="eastAsia" w:eastAsia="宋体"/>
          <w:bCs/>
          <w:lang w:val="en-US" w:eastAsia="zh-CN"/>
        </w:rPr>
        <w:t>10</w:t>
      </w:r>
      <w:r>
        <w:rPr>
          <w:rFonts w:hint="eastAsia" w:eastAsiaTheme="minorEastAsia"/>
          <w:b w:val="0"/>
        </w:rPr>
        <w:t xml:space="preserve"> </w:t>
      </w:r>
      <w:r>
        <w:rPr>
          <w:b w:val="0"/>
        </w:rPr>
        <w:t>illustrates the decomposition of variance into first-order indices</w:t>
      </w:r>
      <w:r>
        <w:rPr>
          <w:rFonts w:hint="eastAsia" w:eastAsiaTheme="minorEastAsia"/>
          <w:b w:val="0"/>
        </w:rPr>
        <w:t xml:space="preserve"> </w:t>
      </w:r>
      <w:r>
        <w:rPr>
          <w:rFonts w:eastAsiaTheme="minorEastAsia"/>
          <w:b w:val="0"/>
          <w:position w:val="-9"/>
        </w:rPr>
        <w:object>
          <v:shape id="_x0000_i1137" o:spt="75" type="#_x0000_t75" style="height:15.35pt;width:12.65pt;" o:ole="t" filled="f" coordsize="21600,21600">
            <v:path/>
            <v:fill on="f" focussize="0,0"/>
            <v:stroke/>
            <v:imagedata r:id="rId231" o:title=""/>
            <o:lock v:ext="edit" aspectratio="t"/>
            <w10:wrap type="none"/>
            <w10:anchorlock/>
          </v:shape>
          <o:OLEObject Type="Embed" ProgID="Equation.AxMath" ShapeID="_x0000_i1137" DrawAspect="Content" ObjectID="_1468075836" r:id="rId230">
            <o:LockedField>false</o:LockedField>
          </o:OLEObject>
        </w:object>
      </w:r>
      <w:r>
        <w:rPr>
          <w:rFonts w:hint="eastAsia" w:eastAsiaTheme="minorEastAsia"/>
          <w:b w:val="0"/>
        </w:rPr>
        <w:t xml:space="preserve"> </w:t>
      </w:r>
      <w:r>
        <w:rPr>
          <w:rFonts w:eastAsiaTheme="minorEastAsia"/>
          <w:b w:val="0"/>
        </w:rPr>
        <w:t>and total-effect indices</w:t>
      </w:r>
      <w:r>
        <w:rPr>
          <w:rFonts w:eastAsiaTheme="minorEastAsia"/>
          <w:b w:val="0"/>
          <w:position w:val="-9"/>
        </w:rPr>
        <w:object>
          <v:shape id="_x0000_i1138" o:spt="75" type="#_x0000_t75" style="height:15.35pt;width:19.35pt;" o:ole="t" filled="f" coordsize="21600,21600">
            <v:path/>
            <v:fill on="f" focussize="0,0"/>
            <v:stroke/>
            <v:imagedata r:id="rId233" o:title=""/>
            <o:lock v:ext="edit" aspectratio="t"/>
            <w10:wrap type="none"/>
            <w10:anchorlock/>
          </v:shape>
          <o:OLEObject Type="Embed" ProgID="Equation.AxMath" ShapeID="_x0000_i1138" DrawAspect="Content" ObjectID="_1468075837" r:id="rId232">
            <o:LockedField>false</o:LockedField>
          </o:OLEObject>
        </w:object>
      </w:r>
      <w:r>
        <w:rPr>
          <w:rFonts w:hint="eastAsia" w:eastAsiaTheme="minorEastAsia"/>
          <w:b w:val="0"/>
        </w:rPr>
        <w:t xml:space="preserve">We found that </w:t>
      </w:r>
      <w:r>
        <w:rPr>
          <w:rFonts w:eastAsiaTheme="minorEastAsia"/>
          <w:bCs/>
        </w:rPr>
        <w:t xml:space="preserve">Dominance of Screen and </w:t>
      </w:r>
      <w:r>
        <w:rPr>
          <w:rFonts w:hint="eastAsia" w:eastAsiaTheme="minorEastAsia"/>
          <w:bCs/>
        </w:rPr>
        <w:t>CPU(</w:t>
      </w:r>
      <w:r>
        <w:rPr>
          <w:rFonts w:eastAsiaTheme="minorEastAsia"/>
          <w:bCs/>
          <w:position w:val="-9"/>
        </w:rPr>
        <w:object>
          <v:shape id="_x0000_i1139" o:spt="75" type="#_x0000_t75" style="height:15.35pt;width:30.65pt;" o:ole="t" filled="f" coordsize="21600,21600">
            <v:path/>
            <v:fill on="f" focussize="0,0"/>
            <v:stroke/>
            <v:imagedata r:id="rId235" o:title=""/>
            <o:lock v:ext="edit" aspectratio="t"/>
            <w10:wrap type="none"/>
            <w10:anchorlock/>
          </v:shape>
          <o:OLEObject Type="Embed" ProgID="Equation.AxMath" ShapeID="_x0000_i1139" DrawAspect="Content" ObjectID="_1468075838" r:id="rId234">
            <o:LockedField>false</o:LockedField>
          </o:OLEObject>
        </w:object>
      </w:r>
      <w:r>
        <w:rPr>
          <w:rFonts w:hint="eastAsia" w:eastAsiaTheme="minorEastAsia"/>
          <w:bCs/>
        </w:rPr>
        <w:t>):</w:t>
      </w:r>
      <w:r>
        <w:rPr>
          <w:rFonts w:eastAsiaTheme="minorEastAsia"/>
          <w:b w:val="0"/>
        </w:rPr>
        <w:t>The screen power coefficient</w:t>
      </w:r>
      <w:r>
        <w:rPr>
          <w:rFonts w:hint="eastAsia" w:eastAsiaTheme="minorEastAsia"/>
          <w:b w:val="0"/>
        </w:rPr>
        <w:t xml:space="preserve"> </w:t>
      </w:r>
      <w:r>
        <w:rPr>
          <w:rFonts w:eastAsiaTheme="minorEastAsia"/>
          <w:b w:val="0"/>
          <w:position w:val="-9"/>
        </w:rPr>
        <w:object>
          <v:shape id="_x0000_i1140" o:spt="75" type="#_x0000_t75" style="height:15.35pt;width:14pt;" o:ole="t" filled="f" coordsize="21600,21600">
            <v:path/>
            <v:fill on="f" focussize="0,0"/>
            <v:stroke/>
            <v:imagedata r:id="rId237" o:title=""/>
            <o:lock v:ext="edit" aspectratio="t"/>
            <w10:wrap type="none"/>
            <w10:anchorlock/>
          </v:shape>
          <o:OLEObject Type="Embed" ProgID="Equation.AxMath" ShapeID="_x0000_i1140" DrawAspect="Content" ObjectID="_1468075839" r:id="rId236">
            <o:LockedField>false</o:LockedField>
          </o:OLEObject>
        </w:object>
      </w:r>
      <w:r>
        <w:rPr>
          <w:rFonts w:hint="eastAsia" w:eastAsiaTheme="minorEastAsia"/>
          <w:b w:val="0"/>
        </w:rPr>
        <w:t xml:space="preserve"> </w:t>
      </w:r>
      <w:r>
        <w:rPr>
          <w:rFonts w:eastAsiaTheme="minorEastAsia"/>
          <w:b w:val="0"/>
        </w:rPr>
        <w:t xml:space="preserve">contributes </w:t>
      </w:r>
      <w:r>
        <w:rPr>
          <w:rFonts w:eastAsiaTheme="minorEastAsia"/>
          <w:bCs/>
        </w:rPr>
        <w:t>44.5%</w:t>
      </w:r>
      <w:r>
        <w:rPr>
          <w:rFonts w:eastAsiaTheme="minorEastAsia"/>
          <w:b w:val="0"/>
        </w:rPr>
        <w:t xml:space="preserve"> to the total variance, followed by the processor coefficient</w:t>
      </w:r>
      <w:r>
        <w:rPr>
          <w:rFonts w:hint="eastAsia" w:eastAsiaTheme="minorEastAsia"/>
          <w:b w:val="0"/>
        </w:rPr>
        <w:t xml:space="preserve"> 33.2%.</w:t>
      </w:r>
    </w:p>
    <w:p w14:paraId="01B33081">
      <w:pPr>
        <w:pStyle w:val="50"/>
        <w:numPr>
          <w:ilvl w:val="0"/>
          <w:numId w:val="0"/>
        </w:numPr>
        <w:snapToGrid w:val="0"/>
        <w:spacing w:after="163"/>
        <w:rPr>
          <w:rFonts w:eastAsiaTheme="minorEastAsia"/>
          <w:b w:val="0"/>
        </w:rPr>
      </w:pPr>
      <w:r>
        <w:drawing>
          <wp:inline distT="0" distB="0" distL="0" distR="0">
            <wp:extent cx="4663440" cy="2775585"/>
            <wp:effectExtent l="0" t="0" r="3810" b="5715"/>
            <wp:docPr id="19165626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562674" name="图片 6"/>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a:xfrm>
                      <a:off x="0" y="0"/>
                      <a:ext cx="4701391" cy="2798125"/>
                    </a:xfrm>
                    <a:prstGeom prst="rect">
                      <a:avLst/>
                    </a:prstGeom>
                    <a:noFill/>
                    <a:ln>
                      <a:noFill/>
                    </a:ln>
                  </pic:spPr>
                </pic:pic>
              </a:graphicData>
            </a:graphic>
          </wp:inline>
        </w:drawing>
      </w:r>
    </w:p>
    <w:p w14:paraId="45BA2A3D">
      <w:pPr>
        <w:pStyle w:val="50"/>
        <w:spacing w:after="163"/>
        <w:rPr>
          <w:rFonts w:eastAsiaTheme="minorEastAsia"/>
        </w:rPr>
      </w:pPr>
      <w:r>
        <w:rPr>
          <w:rFonts w:eastAsiaTheme="minorEastAsia"/>
        </w:rPr>
        <w:t>Assumption Robustness Waterfall</w:t>
      </w:r>
    </w:p>
    <w:p w14:paraId="05ABD23E">
      <w:pPr>
        <w:ind w:firstLine="482"/>
      </w:pPr>
      <w:r>
        <w:rPr>
          <w:rFonts w:hint="eastAsia"/>
          <w:b/>
          <w:bCs/>
        </w:rPr>
        <w:t>Figure 1</w:t>
      </w:r>
      <w:r>
        <w:rPr>
          <w:rFonts w:hint="eastAsia"/>
          <w:b/>
          <w:bCs/>
          <w:lang w:val="en-US" w:eastAsia="zh-CN"/>
        </w:rPr>
        <w:t>1</w:t>
      </w:r>
      <w:r>
        <w:rPr>
          <w:rFonts w:hint="eastAsia"/>
        </w:rPr>
        <w:t xml:space="preserve"> The waterfall chart visually illustrates the impact of five core assumption changes on TTE predictions. Starting from the baseline value of </w:t>
      </w:r>
      <w:r>
        <w:rPr>
          <w:rFonts w:hint="eastAsia"/>
          <w:b/>
          <w:bCs/>
        </w:rPr>
        <w:t>4.60 hours</w:t>
      </w:r>
      <w:r>
        <w:rPr>
          <w:rFonts w:hint="eastAsia"/>
        </w:rPr>
        <w:t xml:space="preserve">, the CPL→CC assumption change resulted in a significant deviation of </w:t>
      </w:r>
      <w:r>
        <w:rPr>
          <w:rFonts w:hint="eastAsia"/>
          <w:b/>
          <w:bCs/>
        </w:rPr>
        <w:t xml:space="preserve">+0.52 hours </w:t>
      </w:r>
      <w:r>
        <w:rPr>
          <w:rFonts w:hint="eastAsia"/>
        </w:rPr>
        <w:t>(+11.3%), while switchin</w:t>
      </w:r>
      <w:r>
        <w:t xml:space="preserve">g the signal mapping from exponential to linear produced a substantial error of </w:t>
      </w:r>
      <w:r>
        <w:rPr>
          <w:b/>
          <w:bCs/>
        </w:rPr>
        <w:t>+0.89 hours (+19.3%)</w:t>
      </w:r>
      <w:r>
        <w:t>. These two assumptions are marked as "Critical". Conversely, the impacts of OCV linearisation</w:t>
      </w:r>
      <w:r>
        <w:rPr>
          <w:b/>
          <w:bCs/>
        </w:rPr>
        <w:t xml:space="preserve"> (+1.7%) </w:t>
      </w:r>
      <w:r>
        <w:t>and the lumped thermal model</w:t>
      </w:r>
      <w:r>
        <w:rPr>
          <w:b/>
          <w:bCs/>
        </w:rPr>
        <w:t xml:space="preserve"> (-2.6%)</w:t>
      </w:r>
      <w:r>
        <w:t xml:space="preserve"> remain within acceptable ranges, indicating robust performance of the model in these aspects.</w:t>
      </w:r>
    </w:p>
    <w:p w14:paraId="26610938">
      <w:pPr>
        <w:ind w:firstLine="482"/>
      </w:pPr>
      <w:bookmarkStart w:id="51" w:name="_GoBack"/>
      <w:bookmarkEnd w:id="51"/>
    </w:p>
    <w:p w14:paraId="79363149">
      <w:pPr>
        <w:ind w:left="0" w:leftChars="0" w:firstLine="0" w:firstLineChars="0"/>
        <w:jc w:val="both"/>
        <w:rPr>
          <w:rFonts w:hint="eastAsia" w:eastAsia="宋体"/>
          <w:lang w:eastAsia="zh-CN"/>
        </w:rPr>
      </w:pPr>
      <w:r>
        <w:rPr>
          <w:rFonts w:hint="eastAsia" w:eastAsia="宋体"/>
          <w:lang w:eastAsia="zh-CN"/>
        </w:rPr>
        <w:drawing>
          <wp:inline distT="0" distB="0" distL="114300" distR="114300">
            <wp:extent cx="5724525" cy="2595880"/>
            <wp:effectExtent l="0" t="0" r="0" b="4445"/>
            <wp:docPr id="1" name="图片 1" descr="fig19_cpl_compa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19_cpl_comparison"/>
                    <pic:cNvPicPr>
                      <a:picLocks noChangeAspect="1"/>
                    </pic:cNvPicPr>
                  </pic:nvPicPr>
                  <pic:blipFill>
                    <a:blip r:embed="rId239"/>
                    <a:stretch>
                      <a:fillRect/>
                    </a:stretch>
                  </pic:blipFill>
                  <pic:spPr>
                    <a:xfrm>
                      <a:off x="0" y="0"/>
                      <a:ext cx="5724525" cy="2595880"/>
                    </a:xfrm>
                    <a:prstGeom prst="rect">
                      <a:avLst/>
                    </a:prstGeom>
                  </pic:spPr>
                </pic:pic>
              </a:graphicData>
            </a:graphic>
          </wp:inline>
        </w:drawing>
      </w:r>
    </w:p>
    <w:p w14:paraId="67F4CBA5">
      <w:pPr>
        <w:pStyle w:val="50"/>
        <w:spacing w:after="163"/>
        <w:rPr>
          <w:rFonts w:eastAsiaTheme="minorEastAsia"/>
        </w:rPr>
      </w:pPr>
      <w:r>
        <w:rPr>
          <w:rFonts w:eastAsiaTheme="minorEastAsia"/>
        </w:rPr>
        <w:t>Load Model Comparison</w:t>
      </w:r>
    </w:p>
    <w:p w14:paraId="319156C5">
      <w:pPr>
        <w:ind w:firstLine="482"/>
      </w:pPr>
      <w:r>
        <w:rPr>
          <w:rFonts w:hint="eastAsia"/>
          <w:b/>
          <w:bCs/>
        </w:rPr>
        <w:t>Figure 1</w:t>
      </w:r>
      <w:r>
        <w:rPr>
          <w:rFonts w:hint="eastAsia"/>
          <w:b/>
          <w:bCs/>
          <w:lang w:val="en-US" w:eastAsia="zh-CN"/>
        </w:rPr>
        <w:t>2</w:t>
      </w:r>
      <w:r>
        <w:rPr>
          <w:rFonts w:hint="eastAsia"/>
          <w:b/>
          <w:bCs/>
        </w:rPr>
        <w:t xml:space="preserve"> </w:t>
      </w:r>
      <w:r>
        <w:t>The prediction discrepancies among three load models were compared. The left diagram displays TTE predictions: the CPL model (</w:t>
      </w:r>
      <w:r>
        <w:rPr>
          <w:b/>
          <w:bCs/>
        </w:rPr>
        <w:t>4.60h</w:t>
      </w:r>
      <w:r>
        <w:t>) is markedly lower than CC (</w:t>
      </w:r>
      <w:r>
        <w:rPr>
          <w:b/>
          <w:bCs/>
        </w:rPr>
        <w:t>5.12h, +11.3%</w:t>
      </w:r>
      <w:r>
        <w:t>) and CR (</w:t>
      </w:r>
      <w:r>
        <w:rPr>
          <w:b/>
          <w:bCs/>
        </w:rPr>
        <w:t>5.38h, +17.0%</w:t>
      </w:r>
      <w:r>
        <w:t>). This stems from CPL capturing the positive feedback loop:</w:t>
      </w:r>
      <w:r>
        <w:rPr>
          <w:rFonts w:hint="eastAsia"/>
        </w:rPr>
        <w:t xml:space="preserve"> "voltage drop → current surge → heightened thermal stress → further voltage decline". The right-hand graph is more critical: at SOC=0.1, the CPL model predicts a terminal current of 1.01A (</w:t>
      </w:r>
      <w:r>
        <w:rPr>
          <w:rFonts w:hint="eastAsia"/>
          <w:b/>
          <w:bCs/>
        </w:rPr>
        <w:t>+46%</w:t>
      </w:r>
      <w:r>
        <w:rPr>
          <w:rFonts w:hint="eastAsia"/>
        </w:rPr>
        <w:t>), whereas CC/CR predict 0.69A and 0.59A respectively. Experim</w:t>
      </w:r>
      <w:r>
        <w:t>ental data show terminal current increases ranging from</w:t>
      </w:r>
      <w:r>
        <w:rPr>
          <w:b/>
          <w:bCs/>
        </w:rPr>
        <w:t xml:space="preserve"> 28% </w:t>
      </w:r>
      <w:r>
        <w:t>to</w:t>
      </w:r>
      <w:r>
        <w:rPr>
          <w:b/>
          <w:bCs/>
        </w:rPr>
        <w:t xml:space="preserve"> 45%</w:t>
      </w:r>
      <w:r>
        <w:t>. The CPL model aligns with experiments, validating its physical plausibility.</w:t>
      </w:r>
    </w:p>
    <w:p w14:paraId="22B73623">
      <w:pPr>
        <w:pStyle w:val="2"/>
      </w:pPr>
      <w:bookmarkStart w:id="36" w:name="_Toc19355"/>
      <w:r>
        <w:t>Mobile Phone Usage Optimisation Recommendations</w:t>
      </w:r>
      <w:bookmarkEnd w:id="36"/>
    </w:p>
    <w:p w14:paraId="492B1E21">
      <w:pPr>
        <w:ind w:firstLine="480"/>
      </w:pPr>
      <w:r>
        <w:t>This study has identified several key factors that significantly influence battery life. We have translated these findings into recommendations for users and operating systems. Under the baseline usage scenario, we predict the TTE to be 4.60 hours, with the discharge process terminating due to SOC depletion.</w:t>
      </w:r>
    </w:p>
    <w:p w14:paraId="1287FA3E">
      <w:pPr>
        <w:pStyle w:val="3"/>
        <w:spacing w:after="163"/>
      </w:pPr>
      <w:bookmarkStart w:id="37" w:name="_Toc10789"/>
      <w:r>
        <w:rPr>
          <w:rFonts w:hint="eastAsia"/>
        </w:rPr>
        <w:t>Recommdations</w:t>
      </w:r>
      <w:r>
        <w:rPr>
          <w:rFonts w:hint="eastAsia"/>
          <w:lang w:eastAsia="zh-CN"/>
        </w:rPr>
        <w:t>:</w:t>
      </w:r>
      <w:bookmarkEnd w:id="37"/>
      <w:r>
        <w:rPr>
          <w:rFonts w:hint="eastAsia"/>
          <w:lang w:eastAsia="zh-CN"/>
        </w:rPr>
        <w:t xml:space="preserve"> </w:t>
      </w:r>
    </w:p>
    <w:p w14:paraId="04951978">
      <w:pPr>
        <w:ind w:firstLine="482"/>
      </w:pPr>
      <w:r>
        <w:rPr>
          <w:b/>
          <w:bCs/>
        </w:rPr>
        <w:t>Firstly</w:t>
      </w:r>
      <w:r>
        <w:t>, the various power consumption modules. This study identified the primary factors driving SOC variation as the display, CPU load, and signal penalty. In daily usage, the most effective measure is reducing display power consumption; halving screen brightness can extend TTE by approximately 1.22 hours compared to the baseline. Secondly, reducing CPU load proves beneficial; halving CPU load can extend TTE by approximately 0.85 hours and decrease the frequency of voltage collapse incidents.</w:t>
      </w:r>
    </w:p>
    <w:p w14:paraId="66FEBC46">
      <w:pPr>
        <w:ind w:firstLine="482"/>
        <w:rPr>
          <w:b/>
          <w:bCs/>
        </w:rPr>
      </w:pPr>
      <w:r>
        <w:rPr>
          <w:b/>
          <w:bCs/>
        </w:rPr>
        <w:t xml:space="preserve">Recommendation: </w:t>
      </w:r>
      <w:r>
        <w:t xml:space="preserve">Prioritise reducing </w:t>
      </w:r>
      <w:r>
        <w:rPr>
          <w:b/>
          <w:bCs/>
        </w:rPr>
        <w:t>screen brightness</w:t>
      </w:r>
      <w:r>
        <w:t xml:space="preserve">, followed by </w:t>
      </w:r>
      <w:r>
        <w:rPr>
          <w:b/>
          <w:bCs/>
        </w:rPr>
        <w:t>CPU</w:t>
      </w:r>
      <w:r>
        <w:t xml:space="preserve"> </w:t>
      </w:r>
      <w:r>
        <w:rPr>
          <w:b/>
          <w:bCs/>
        </w:rPr>
        <w:t>power consumption.</w:t>
      </w:r>
    </w:p>
    <w:p w14:paraId="5589C5A9">
      <w:pPr>
        <w:ind w:firstLine="480"/>
      </w:pPr>
    </w:p>
    <w:p w14:paraId="2170C461">
      <w:pPr>
        <w:ind w:firstLine="482"/>
      </w:pPr>
      <w:r>
        <w:rPr>
          <w:b/>
          <w:bCs/>
        </w:rPr>
        <w:t xml:space="preserve">Secondly, </w:t>
      </w:r>
      <w:r>
        <w:t>usage habits play a role. Research indicates that as battery level decreases, the CPL model causes sustained current increases. This not only creates a positive feedback loop amplifying phone power consumption but also elevates device temperature. According to the ETS model, persistent high temperatures accelerate battery degradation.</w:t>
      </w:r>
    </w:p>
    <w:p w14:paraId="7E2A8ADC">
      <w:pPr>
        <w:ind w:firstLine="482"/>
      </w:pPr>
      <w:r>
        <w:rPr>
          <w:b/>
          <w:bCs/>
        </w:rPr>
        <w:t xml:space="preserve">Recommendation: </w:t>
      </w:r>
      <w:r>
        <w:t>Maintain the SOC at a higher level and charge promptly to prevent accelerated battery degradation caused by low charge levels and elevated temperatures.</w:t>
      </w:r>
    </w:p>
    <w:p w14:paraId="411E2105">
      <w:pPr>
        <w:ind w:firstLine="480"/>
      </w:pPr>
    </w:p>
    <w:p w14:paraId="3BE58379">
      <w:pPr>
        <w:ind w:firstLine="482"/>
      </w:pPr>
      <w:r>
        <w:rPr>
          <w:b/>
          <w:bCs/>
        </w:rPr>
        <w:t>Thirdly</w:t>
      </w:r>
      <w:r>
        <w:t>, based on usage scenarios:</w:t>
      </w:r>
    </w:p>
    <w:p w14:paraId="6EF19DCF">
      <w:pPr>
        <w:ind w:firstLine="480"/>
      </w:pPr>
      <w:r>
        <w:t xml:space="preserve">Scenario 1: In environments with poor signal quality, the RF module operates at high load to maintain signal transmission, driving up average power consumption and peak current. This reduces TTE from </w:t>
      </w:r>
      <w:r>
        <w:rPr>
          <w:b/>
          <w:bCs/>
        </w:rPr>
        <w:t>4.60 hours to 2.78 hours</w:t>
      </w:r>
      <w:r>
        <w:t>. Users should promptly switch to Wi-Fi to reduce signal module power consumption. Scenario two: In low-temperature conditions, the battery's internal resistance increases due to chemical mechanisms, causing the discrimination criterion to approach zero and resulting in voltage collapse. Users perceive this as sudden shutdown.</w:t>
      </w:r>
    </w:p>
    <w:p w14:paraId="3357F871">
      <w:pPr>
        <w:ind w:firstLine="482"/>
      </w:pPr>
      <w:r>
        <w:rPr>
          <w:b/>
          <w:bCs/>
        </w:rPr>
        <w:t>Recommendation:</w:t>
      </w:r>
      <w:r>
        <w:t xml:space="preserve"> Prioritise connecting to </w:t>
      </w:r>
      <w:r>
        <w:rPr>
          <w:b/>
          <w:bCs/>
        </w:rPr>
        <w:t>Wi-Fi</w:t>
      </w:r>
      <w:r>
        <w:t xml:space="preserve"> in</w:t>
      </w:r>
      <w:r>
        <w:rPr>
          <w:b/>
          <w:bCs/>
        </w:rPr>
        <w:t xml:space="preserve"> low-signal-quality</w:t>
      </w:r>
      <w:r>
        <w:t xml:space="preserve"> environments. In cold conditions, warm the device and reduce power consumption to prevent unexpected shutdowns.</w:t>
      </w:r>
    </w:p>
    <w:p w14:paraId="335995F3">
      <w:pPr>
        <w:ind w:firstLine="480"/>
      </w:pPr>
    </w:p>
    <w:p w14:paraId="5B2BA99F">
      <w:pPr>
        <w:pStyle w:val="3"/>
        <w:spacing w:after="163"/>
      </w:pPr>
      <w:bookmarkStart w:id="38" w:name="_Toc24154"/>
      <w:r>
        <w:t>Operating System Policies</w:t>
      </w:r>
      <w:bookmarkEnd w:id="38"/>
    </w:p>
    <w:p w14:paraId="084D33A7">
      <w:pPr>
        <w:ind w:firstLine="480"/>
      </w:pPr>
      <w:r>
        <w:t>To enhance user operability, manufacturers typically provide both power-saving mode and high-performance mode:</w:t>
      </w:r>
    </w:p>
    <w:p w14:paraId="0EEDDF04">
      <w:pPr>
        <w:ind w:firstLine="0" w:firstLineChars="0"/>
        <w:jc w:val="center"/>
      </w:pPr>
      <w:r>
        <w:drawing>
          <wp:inline distT="0" distB="0" distL="0" distR="0">
            <wp:extent cx="3907790" cy="2026920"/>
            <wp:effectExtent l="0" t="0" r="0" b="0"/>
            <wp:docPr id="7156377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637756" name="图片 3"/>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a:xfrm>
                      <a:off x="0" y="0"/>
                      <a:ext cx="3923102" cy="2034813"/>
                    </a:xfrm>
                    <a:prstGeom prst="rect">
                      <a:avLst/>
                    </a:prstGeom>
                    <a:noFill/>
                    <a:ln>
                      <a:noFill/>
                    </a:ln>
                  </pic:spPr>
                </pic:pic>
              </a:graphicData>
            </a:graphic>
          </wp:inline>
        </w:drawing>
      </w:r>
    </w:p>
    <w:p w14:paraId="14C34F4F">
      <w:pPr>
        <w:pStyle w:val="50"/>
        <w:spacing w:after="163"/>
        <w:ind w:firstLine="480"/>
      </w:pPr>
      <w:r>
        <w:t>Power-saving mode</w:t>
      </w:r>
      <w:r>
        <w:rPr>
          <w:rFonts w:hint="eastAsia" w:ascii="宋体" w:hAnsi="宋体" w:eastAsia="宋体" w:cs="宋体"/>
        </w:rPr>
        <w:t>(Green)</w:t>
      </w:r>
      <w:r>
        <w:t xml:space="preserve"> and high-performance mode</w:t>
      </w:r>
      <w:r>
        <w:rPr>
          <w:rFonts w:hint="eastAsia" w:ascii="宋体" w:hAnsi="宋体" w:eastAsia="宋体" w:cs="宋体"/>
          <w:lang w:eastAsia="zh-CN"/>
        </w:rPr>
        <w:t>(</w:t>
      </w:r>
      <w:r>
        <w:rPr>
          <w:rFonts w:hint="eastAsia" w:ascii="宋体" w:hAnsi="宋体" w:eastAsia="宋体" w:cs="宋体"/>
        </w:rPr>
        <w:t>Red</w:t>
      </w:r>
      <w:r>
        <w:rPr>
          <w:rFonts w:hint="eastAsia" w:ascii="宋体" w:hAnsi="宋体" w:eastAsia="宋体" w:cs="宋体"/>
          <w:lang w:eastAsia="zh-CN"/>
        </w:rPr>
        <w:t>)</w:t>
      </w:r>
    </w:p>
    <w:p w14:paraId="591218F1">
      <w:pPr>
        <w:snapToGrid w:val="0"/>
        <w:ind w:firstLine="480"/>
        <w:rPr>
          <w:rFonts w:hint="eastAsia"/>
        </w:rPr>
      </w:pPr>
      <w:r>
        <w:t>Power-saving mode significantly extends battery life by limiting screen brightness, yet compromises user experience; high-performance mode offers superior user experience but reduced battery life. These</w:t>
      </w:r>
      <w:r>
        <w:rPr>
          <w:b/>
          <w:bCs/>
        </w:rPr>
        <w:t xml:space="preserve"> two mutually exclusive modes</w:t>
      </w:r>
      <w:r>
        <w:t xml:space="preserve"> present inefficiencies. We propose a method for automatically and dynamically adjusting between the two modes, dynamically optimising user experience while balancing battery life</w:t>
      </w:r>
      <w:r>
        <w:rPr>
          <w:rFonts w:hint="eastAsia"/>
        </w:rPr>
        <w:t xml:space="preserve">: </w:t>
      </w:r>
      <w:r>
        <w:t xml:space="preserve">We define a performance coefficient </w:t>
      </w:r>
      <w:r>
        <w:rPr>
          <w:rFonts w:hint="eastAsia"/>
        </w:rPr>
        <w:t xml:space="preserve"> </w:t>
      </w:r>
      <w:r>
        <w:rPr>
          <w:position w:val="-10"/>
        </w:rPr>
        <w:object>
          <v:shape id="_x0000_i1141" o:spt="75" type="#_x0000_t75" style="height:17.35pt;width:67.35pt;" o:ole="t" filled="f" coordsize="21600,21600">
            <v:path/>
            <v:fill on="f" focussize="0,0"/>
            <v:stroke/>
            <v:imagedata r:id="rId242" o:title=""/>
            <o:lock v:ext="edit" aspectratio="t"/>
            <w10:wrap type="none"/>
            <w10:anchorlock/>
          </v:shape>
          <o:OLEObject Type="Embed" ProgID="Equation.AxMath" ShapeID="_x0000_i1141" DrawAspect="Content" ObjectID="_1468075840" r:id="rId241">
            <o:LockedField>false</o:LockedField>
          </o:OLEObject>
        </w:object>
      </w:r>
      <w:r>
        <w:t xml:space="preserve"> as the control variable</w:t>
      </w:r>
      <w:r>
        <w:rPr>
          <w:rFonts w:hint="eastAsia"/>
        </w:rPr>
        <w:t>:</w:t>
      </w:r>
    </w:p>
    <w:p w14:paraId="32C9728B">
      <w:pPr>
        <w:ind w:firstLine="0" w:firstLineChars="0"/>
        <w:jc w:val="center"/>
      </w:pPr>
      <w:r>
        <w:rPr>
          <w:position w:val="-43"/>
        </w:rPr>
        <w:object>
          <v:shape id="_x0000_i1142" o:spt="75" type="#_x0000_t75" style="height:50pt;width:273.35pt;" o:ole="t" filled="f" coordsize="21600,21600">
            <v:path/>
            <v:fill on="f" focussize="0,0"/>
            <v:stroke/>
            <v:imagedata r:id="rId244" o:title=""/>
            <o:lock v:ext="edit" aspectratio="t"/>
            <w10:wrap type="none"/>
            <w10:anchorlock/>
          </v:shape>
          <o:OLEObject Type="Embed" ProgID="Equation.AxMath" ShapeID="_x0000_i1142" DrawAspect="Content" ObjectID="_1468075841" r:id="rId243">
            <o:LockedField>false</o:LockedField>
          </o:OLEObject>
        </w:object>
      </w:r>
    </w:p>
    <w:p w14:paraId="64C9AFAF">
      <w:pPr>
        <w:ind w:firstLine="0" w:firstLineChars="0"/>
      </w:pPr>
    </w:p>
    <w:p w14:paraId="12745784">
      <w:pPr>
        <w:ind w:firstLine="480"/>
      </w:pPr>
      <w:r>
        <w:t>Through linear interpolation, the</w:t>
      </w:r>
      <w:r>
        <w:rPr>
          <w:b/>
          <w:bCs/>
        </w:rPr>
        <w:t xml:space="preserve"> performance coefficient </w:t>
      </w:r>
      <w:r>
        <w:t xml:space="preserve">is directly linked to the </w:t>
      </w:r>
      <w:r>
        <w:rPr>
          <w:b/>
          <w:bCs/>
        </w:rPr>
        <w:t>user experience</w:t>
      </w:r>
      <w:r>
        <w:t xml:space="preserve"> (UX):</w:t>
      </w: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416C8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558A9D0C">
            <w:pPr>
              <w:tabs>
                <w:tab w:val="center" w:pos="4180"/>
                <w:tab w:val="right" w:pos="8360"/>
              </w:tabs>
              <w:adjustRightInd w:val="0"/>
              <w:snapToGrid w:val="0"/>
              <w:ind w:firstLine="0" w:firstLineChars="0"/>
            </w:pPr>
            <w:r>
              <w:tab/>
            </w:r>
            <w:r>
              <w:rPr>
                <w:position w:val="-9"/>
              </w:rPr>
              <w:object>
                <v:shape id="_x0000_i1143" o:spt="75" type="#_x0000_t75" style="height:16pt;width:86.65pt;" o:ole="t" filled="f" coordsize="21600,21600">
                  <v:path/>
                  <v:fill on="f" focussize="0,0"/>
                  <v:stroke/>
                  <v:imagedata r:id="rId246" o:title=""/>
                  <o:lock v:ext="edit" aspectratio="t"/>
                  <w10:wrap type="none"/>
                  <w10:anchorlock/>
                </v:shape>
                <o:OLEObject Type="Embed" ProgID="Equation.AxMath" ShapeID="_x0000_i1143" DrawAspect="Content" ObjectID="_1468075842" r:id="rId245">
                  <o:LockedField>false</o:LockedField>
                </o:OLEObject>
              </w:object>
            </w:r>
          </w:p>
        </w:tc>
        <w:tc>
          <w:tcPr>
            <w:tcW w:w="644" w:type="dxa"/>
            <w:vAlign w:val="center"/>
          </w:tcPr>
          <w:p w14:paraId="41B7C0CF">
            <w:pPr>
              <w:adjustRightInd w:val="0"/>
              <w:snapToGrid w:val="0"/>
              <w:ind w:firstLine="0" w:firstLineChars="0"/>
              <w:jc w:val="center"/>
            </w:pPr>
            <w:r>
              <w:t>(</w:t>
            </w:r>
            <w:r>
              <w:fldChar w:fldCharType="begin"/>
            </w:r>
            <w:r>
              <w:instrText xml:space="preserve"> AUTONUM  \* Arabic </w:instrText>
            </w:r>
            <w:r>
              <w:fldChar w:fldCharType="end"/>
            </w:r>
            <w:r>
              <w:t>)</w:t>
            </w:r>
          </w:p>
        </w:tc>
      </w:tr>
    </w:tbl>
    <w:p w14:paraId="316216FF">
      <w:pPr>
        <w:ind w:firstLine="480"/>
      </w:pPr>
    </w:p>
    <w:p w14:paraId="47B8CDE4">
      <w:pPr>
        <w:ind w:firstLine="480"/>
      </w:pPr>
      <w:r>
        <w:t>Incorporating performance into the</w:t>
      </w:r>
      <w:r>
        <w:rPr>
          <w:b/>
          <w:bCs/>
        </w:rPr>
        <w:t xml:space="preserve"> total power </w:t>
      </w:r>
      <w:r>
        <w:t>model</w:t>
      </w:r>
      <w:r>
        <w:rPr>
          <w:b/>
          <w:bCs/>
        </w:rPr>
        <w:t>:</w:t>
      </w:r>
    </w:p>
    <w:p w14:paraId="4539FF4C">
      <w:pPr>
        <w:ind w:firstLine="48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10AEB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3523D7B8">
            <w:pPr>
              <w:tabs>
                <w:tab w:val="center" w:pos="4180"/>
                <w:tab w:val="right" w:pos="8360"/>
              </w:tabs>
              <w:adjustRightInd w:val="0"/>
              <w:snapToGrid w:val="0"/>
              <w:ind w:firstLine="0" w:firstLineChars="0"/>
            </w:pPr>
            <w:r>
              <w:tab/>
            </w:r>
            <w:r>
              <w:rPr>
                <w:position w:val="-10"/>
              </w:rPr>
              <w:object>
                <v:shape id="_x0000_i1144" o:spt="75" type="#_x0000_t75" style="height:16.65pt;width:146.65pt;" o:ole="t" filled="f" coordsize="21600,21600">
                  <v:path/>
                  <v:fill on="f" focussize="0,0"/>
                  <v:stroke/>
                  <v:imagedata r:id="rId248" o:title=""/>
                  <o:lock v:ext="edit" aspectratio="t"/>
                  <w10:wrap type="none"/>
                  <w10:anchorlock/>
                </v:shape>
                <o:OLEObject Type="Embed" ProgID="Equation.AxMath" ShapeID="_x0000_i1144" DrawAspect="Content" ObjectID="_1468075843" r:id="rId247">
                  <o:LockedField>false</o:LockedField>
                </o:OLEObject>
              </w:object>
            </w:r>
          </w:p>
        </w:tc>
        <w:tc>
          <w:tcPr>
            <w:tcW w:w="644" w:type="dxa"/>
            <w:vAlign w:val="center"/>
          </w:tcPr>
          <w:p w14:paraId="3B17874F">
            <w:pPr>
              <w:adjustRightInd w:val="0"/>
              <w:snapToGrid w:val="0"/>
              <w:ind w:firstLine="0" w:firstLineChars="0"/>
              <w:jc w:val="center"/>
            </w:pPr>
            <w:r>
              <w:t>(</w:t>
            </w:r>
            <w:r>
              <w:fldChar w:fldCharType="begin"/>
            </w:r>
            <w:r>
              <w:instrText xml:space="preserve"> AUTONUM  \* Arabic </w:instrText>
            </w:r>
            <w:r>
              <w:fldChar w:fldCharType="end"/>
            </w:r>
            <w:r>
              <w:t>)</w:t>
            </w:r>
          </w:p>
        </w:tc>
      </w:tr>
    </w:tbl>
    <w:p w14:paraId="0F9AAFE1">
      <w:pPr>
        <w:ind w:firstLine="480"/>
      </w:pPr>
    </w:p>
    <w:p w14:paraId="4737294B">
      <w:pPr>
        <w:snapToGrid w:val="0"/>
        <w:ind w:firstLine="480"/>
      </w:pPr>
      <w:r>
        <w:t>Moreover, to simulate the 'battery anxiety' experienced in real-world scenarios, we have defined the battery anxiety coefficient, where a higher A value indicates greater anxiety:</w:t>
      </w:r>
    </w:p>
    <w:p w14:paraId="04FD25EF">
      <w:pPr>
        <w:snapToGrid w:val="0"/>
        <w:ind w:firstLine="480"/>
        <w:rPr>
          <w:rFonts w:hint="eastAsia"/>
        </w:rPr>
      </w:pPr>
    </w:p>
    <w:p w14:paraId="19BD6287">
      <w:pPr>
        <w:snapToGrid w:val="0"/>
        <w:ind w:firstLine="0" w:firstLineChars="0"/>
        <w:jc w:val="center"/>
      </w:pPr>
      <w:r>
        <w:rPr>
          <w:position w:val="-76"/>
        </w:rPr>
        <w:object>
          <v:shape id="_x0000_i1145" o:spt="75" type="#_x0000_t75" style="height:82.65pt;width:406pt;" o:ole="t" filled="f" coordsize="21600,21600">
            <v:path/>
            <v:fill on="f" focussize="0,0"/>
            <v:stroke/>
            <v:imagedata r:id="rId250" o:title=""/>
            <o:lock v:ext="edit" aspectratio="t"/>
            <w10:wrap type="none"/>
            <w10:anchorlock/>
          </v:shape>
          <o:OLEObject Type="Embed" ProgID="Equation.AxMath" ShapeID="_x0000_i1145" DrawAspect="Content" ObjectID="_1468075844" r:id="rId249">
            <o:LockedField>false</o:LockedField>
          </o:OLEObject>
        </w:object>
      </w:r>
    </w:p>
    <w:p w14:paraId="602E4383">
      <w:pPr>
        <w:ind w:firstLine="0" w:firstLineChars="0"/>
      </w:pPr>
      <w:r>
        <w:t>W</w:t>
      </w:r>
      <w:r>
        <w:rPr>
          <w:rFonts w:hint="eastAsia"/>
        </w:rPr>
        <w:t xml:space="preserve">here </w:t>
      </w:r>
      <w:r>
        <w:rPr>
          <w:position w:val="-24"/>
        </w:rPr>
        <w:object>
          <v:shape id="_x0000_i1146" o:spt="75" type="#_x0000_t75" style="height:30.65pt;width:121.35pt;" o:ole="t" filled="f" coordsize="21600,21600">
            <v:path/>
            <v:fill on="f" focussize="0,0"/>
            <v:stroke/>
            <v:imagedata r:id="rId252" o:title=""/>
            <o:lock v:ext="edit" aspectratio="t"/>
            <w10:wrap type="none"/>
            <w10:anchorlock/>
          </v:shape>
          <o:OLEObject Type="Embed" ProgID="Equation.AxMath" ShapeID="_x0000_i1146" DrawAspect="Content" ObjectID="_1468075845" r:id="rId251">
            <o:LockedField>false</o:LockedField>
          </o:OLEObject>
        </w:object>
      </w:r>
      <w:r>
        <w:rPr>
          <w:rFonts w:hint="eastAsia"/>
        </w:rPr>
        <w:t xml:space="preserve"> represents </w:t>
      </w:r>
      <w:r>
        <w:t xml:space="preserve">Estimated remaining </w:t>
      </w:r>
      <w:r>
        <w:rPr>
          <w:rFonts w:hint="eastAsia"/>
        </w:rPr>
        <w:t>TTE.</w:t>
      </w:r>
    </w:p>
    <w:p w14:paraId="4403B5F7">
      <w:pPr>
        <w:ind w:firstLine="0" w:firstLineChars="0"/>
      </w:pPr>
    </w:p>
    <w:tbl>
      <w:tblPr>
        <w:tblStyle w:val="21"/>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80"/>
        <w:gridCol w:w="644"/>
      </w:tblGrid>
      <w:tr w14:paraId="4D2B1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580" w:type="dxa"/>
            <w:vAlign w:val="center"/>
          </w:tcPr>
          <w:p w14:paraId="4780A590">
            <w:pPr>
              <w:tabs>
                <w:tab w:val="center" w:pos="4180"/>
                <w:tab w:val="right" w:pos="8360"/>
              </w:tabs>
              <w:adjustRightInd w:val="0"/>
              <w:snapToGrid w:val="0"/>
              <w:ind w:firstLine="0" w:firstLineChars="0"/>
            </w:pPr>
            <w:r>
              <w:tab/>
            </w:r>
            <w:r>
              <w:rPr>
                <w:position w:val="-57"/>
              </w:rPr>
              <w:object>
                <v:shape id="_x0000_i1147" o:spt="75" type="#_x0000_t75" style="height:64pt;width:224pt;" o:ole="t" filled="f" coordsize="21600,21600">
                  <v:path/>
                  <v:fill on="f" focussize="0,0"/>
                  <v:stroke/>
                  <v:imagedata r:id="rId254" o:title=""/>
                  <o:lock v:ext="edit" aspectratio="t"/>
                  <w10:wrap type="none"/>
                  <w10:anchorlock/>
                </v:shape>
                <o:OLEObject Type="Embed" ProgID="Equation.AxMath" ShapeID="_x0000_i1147" DrawAspect="Content" ObjectID="_1468075846" r:id="rId253">
                  <o:LockedField>false</o:LockedField>
                </o:OLEObject>
              </w:object>
            </w:r>
          </w:p>
        </w:tc>
        <w:tc>
          <w:tcPr>
            <w:tcW w:w="644" w:type="dxa"/>
            <w:vAlign w:val="center"/>
          </w:tcPr>
          <w:p w14:paraId="2D5C68BE">
            <w:pPr>
              <w:adjustRightInd w:val="0"/>
              <w:snapToGrid w:val="0"/>
              <w:ind w:firstLine="0" w:firstLineChars="0"/>
              <w:jc w:val="center"/>
            </w:pPr>
            <w:r>
              <w:t>(</w:t>
            </w:r>
            <w:r>
              <w:fldChar w:fldCharType="begin"/>
            </w:r>
            <w:r>
              <w:instrText xml:space="preserve"> AUTONUM  \* Arabic </w:instrText>
            </w:r>
            <w:r>
              <w:fldChar w:fldCharType="end"/>
            </w:r>
            <w:r>
              <w:t>)</w:t>
            </w:r>
          </w:p>
        </w:tc>
      </w:tr>
    </w:tbl>
    <w:p w14:paraId="4AB343FE">
      <w:pPr>
        <w:ind w:firstLine="0" w:firstLineChars="0"/>
      </w:pPr>
    </w:p>
    <w:p w14:paraId="5860AF50">
      <w:pPr>
        <w:ind w:firstLine="0" w:firstLineChars="0"/>
        <w:jc w:val="center"/>
      </w:pPr>
      <w:r>
        <w:t>Equations (25) and (27) yield the smoothing function relating user experience to SOC</w:t>
      </w:r>
      <w:r>
        <w:rPr>
          <w:rFonts w:hint="eastAsia"/>
          <w:lang w:eastAsia="zh-CN"/>
        </w:rPr>
        <w:t xml:space="preserve">: </w:t>
      </w:r>
      <w:r>
        <w:t>.</w:t>
      </w:r>
      <w:r>
        <w:drawing>
          <wp:inline distT="0" distB="0" distL="0" distR="0">
            <wp:extent cx="2626995" cy="1557020"/>
            <wp:effectExtent l="0" t="0" r="1905" b="5080"/>
            <wp:docPr id="14422926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292690" name="图片 1"/>
                    <pic:cNvPicPr>
                      <a:picLocks noChangeAspect="1"/>
                    </pic:cNvPicPr>
                  </pic:nvPicPr>
                  <pic:blipFill>
                    <a:blip r:embed="rId255"/>
                    <a:stretch>
                      <a:fillRect/>
                    </a:stretch>
                  </pic:blipFill>
                  <pic:spPr>
                    <a:xfrm>
                      <a:off x="0" y="0"/>
                      <a:ext cx="2638575" cy="1564219"/>
                    </a:xfrm>
                    <a:prstGeom prst="rect">
                      <a:avLst/>
                    </a:prstGeom>
                  </pic:spPr>
                </pic:pic>
              </a:graphicData>
            </a:graphic>
          </wp:inline>
        </w:drawing>
      </w:r>
    </w:p>
    <w:p w14:paraId="1D83CD22">
      <w:pPr>
        <w:pStyle w:val="50"/>
        <w:spacing w:after="163"/>
        <w:rPr>
          <w:rFonts w:hint="eastAsia"/>
        </w:rPr>
      </w:pPr>
      <w:r>
        <w:rPr>
          <w:rFonts w:eastAsiaTheme="minorEastAsia"/>
        </w:rPr>
        <w:t>User Experience Function</w:t>
      </w:r>
    </w:p>
    <w:bookmarkEnd w:id="25"/>
    <w:bookmarkEnd w:id="26"/>
    <w:p w14:paraId="0BFC4195">
      <w:pPr>
        <w:pStyle w:val="2"/>
      </w:pPr>
      <w:bookmarkStart w:id="39" w:name="_Toc58505783"/>
      <w:bookmarkStart w:id="40" w:name="_Toc10739"/>
      <w:r>
        <w:t xml:space="preserve">Model Evaluation </w:t>
      </w:r>
      <w:r>
        <w:rPr>
          <w:rFonts w:hint="eastAsia"/>
        </w:rPr>
        <w:t>and</w:t>
      </w:r>
      <w:r>
        <w:t xml:space="preserve"> Further Discussion</w:t>
      </w:r>
      <w:bookmarkEnd w:id="39"/>
      <w:bookmarkEnd w:id="40"/>
    </w:p>
    <w:p w14:paraId="5F05D421">
      <w:pPr>
        <w:pStyle w:val="3"/>
        <w:spacing w:after="163"/>
      </w:pPr>
      <w:bookmarkStart w:id="41" w:name="_Toc58505784"/>
      <w:bookmarkStart w:id="42" w:name="_Toc18283"/>
      <w:r>
        <w:t>Strengths</w:t>
      </w:r>
      <w:bookmarkEnd w:id="41"/>
      <w:bookmarkEnd w:id="42"/>
    </w:p>
    <w:p w14:paraId="63C5CD49">
      <w:pPr>
        <w:pStyle w:val="29"/>
        <w:numPr>
          <w:ilvl w:val="0"/>
          <w:numId w:val="12"/>
        </w:numPr>
        <w:ind w:firstLineChars="0"/>
      </w:pPr>
      <w:r>
        <w:t xml:space="preserve">We have undertaken detailed modelling of the internal battery mechanism, particularly the </w:t>
      </w:r>
      <w:r>
        <w:rPr>
          <w:b/>
          <w:bCs/>
        </w:rPr>
        <w:t>Electrical-Thermal-State-of-Health Coupled Model</w:t>
      </w:r>
      <w:r>
        <w:t>, achieving a</w:t>
      </w:r>
      <w:r>
        <w:rPr>
          <w:b/>
          <w:bCs/>
        </w:rPr>
        <w:t xml:space="preserve"> closed-loop</w:t>
      </w:r>
      <w:r>
        <w:t xml:space="preserve"> relationship between these three physical quantities.</w:t>
      </w:r>
    </w:p>
    <w:p w14:paraId="22409B41">
      <w:pPr>
        <w:pStyle w:val="29"/>
        <w:numPr>
          <w:ilvl w:val="0"/>
          <w:numId w:val="12"/>
        </w:numPr>
        <w:ind w:firstLineChars="0"/>
      </w:pPr>
      <w:r>
        <w:t>For the external power consumption model, we have enhanced the communication model by incorporating the phenomenon of "</w:t>
      </w:r>
      <w:r>
        <w:rPr>
          <w:b/>
          <w:bCs/>
        </w:rPr>
        <w:t>energy tailing</w:t>
      </w:r>
      <w:r>
        <w:t>", thereby achieving precise modelling of signal power consumption.</w:t>
      </w:r>
    </w:p>
    <w:p w14:paraId="7A09BBD6">
      <w:pPr>
        <w:pStyle w:val="29"/>
        <w:widowControl/>
        <w:numPr>
          <w:ilvl w:val="0"/>
          <w:numId w:val="12"/>
        </w:numPr>
        <w:spacing w:before="100" w:beforeAutospacing="1" w:after="100" w:afterAutospacing="1"/>
        <w:ind w:firstLineChars="0"/>
        <w:jc w:val="left"/>
        <w:rPr>
          <w:rFonts w:ascii="宋体" w:hAnsi="宋体" w:cs="宋体"/>
          <w:kern w:val="0"/>
          <w:szCs w:val="24"/>
        </w:rPr>
      </w:pPr>
      <w:r>
        <w:t>Regarding the solution for current, we interpret</w:t>
      </w:r>
      <w:r>
        <w:rPr>
          <w:rFonts w:hint="eastAsia"/>
        </w:rPr>
        <w:t xml:space="preserve"> </w:t>
      </w:r>
      <w:r>
        <w:t>‘</w:t>
      </w:r>
      <w:r>
        <w:rPr>
          <w:b/>
          <w:bCs/>
        </w:rPr>
        <w:t>voltage collapse</w:t>
      </w:r>
      <w:r>
        <w:t>’ through analysis of the discriminant</w:t>
      </w:r>
      <w:r>
        <w:rPr>
          <w:rFonts w:hint="eastAsia" w:ascii="宋体" w:hAnsi="宋体" w:cs="宋体"/>
          <w:b/>
          <w:bCs/>
          <w:kern w:val="0"/>
          <w:szCs w:val="24"/>
        </w:rPr>
        <w:t xml:space="preserve"> </w:t>
      </w:r>
      <w:r>
        <w:rPr>
          <w:position w:val="-10"/>
        </w:rPr>
        <w:object>
          <v:shape id="_x0000_i1148" o:spt="75" type="#_x0000_t75" style="height:16pt;width:27.35pt;" o:ole="t" filled="f" coordsize="21600,21600">
            <v:path/>
            <v:fill on="f" focussize="0,0"/>
            <v:stroke/>
            <v:imagedata r:id="rId257" o:title=""/>
            <o:lock v:ext="edit" aspectratio="t"/>
            <w10:wrap type="none"/>
            <w10:anchorlock/>
          </v:shape>
          <o:OLEObject Type="Embed" ProgID="Equation.AxMath" ShapeID="_x0000_i1148" DrawAspect="Content" ObjectID="_1468075847" r:id="rId256">
            <o:LockedField>false</o:LockedField>
          </o:OLEObject>
        </w:object>
      </w:r>
      <w:r>
        <w:rPr>
          <w:rFonts w:hint="eastAsia"/>
          <w:b/>
          <w:bCs/>
        </w:rPr>
        <w:t>.</w:t>
      </w:r>
    </w:p>
    <w:p w14:paraId="55A7C4F2">
      <w:pPr>
        <w:pStyle w:val="29"/>
        <w:numPr>
          <w:ilvl w:val="0"/>
          <w:numId w:val="12"/>
        </w:numPr>
        <w:ind w:firstLineChars="0"/>
        <w:rPr>
          <w:b/>
          <w:bCs/>
        </w:rPr>
      </w:pPr>
      <w:r>
        <w:t>We propose a method for</w:t>
      </w:r>
      <w:r>
        <w:rPr>
          <w:b/>
          <w:bCs/>
        </w:rPr>
        <w:t xml:space="preserve"> automatically adjusting between power-saving mode and high-performance mode.</w:t>
      </w:r>
    </w:p>
    <w:p w14:paraId="693D0201">
      <w:pPr>
        <w:ind w:firstLine="0" w:firstLineChars="0"/>
      </w:pPr>
    </w:p>
    <w:p w14:paraId="45721B8A">
      <w:pPr>
        <w:pStyle w:val="3"/>
        <w:spacing w:after="163"/>
      </w:pPr>
      <w:bookmarkStart w:id="43" w:name="_Toc58505785"/>
      <w:bookmarkStart w:id="44" w:name="_Toc873"/>
      <w:r>
        <w:t>Weakness</w:t>
      </w:r>
      <w:bookmarkEnd w:id="43"/>
      <w:r>
        <w:rPr>
          <w:rFonts w:hint="eastAsia"/>
        </w:rPr>
        <w:t>es</w:t>
      </w:r>
      <w:bookmarkEnd w:id="44"/>
    </w:p>
    <w:p w14:paraId="7D258C7C">
      <w:pPr>
        <w:pStyle w:val="29"/>
        <w:widowControl/>
        <w:numPr>
          <w:ilvl w:val="0"/>
          <w:numId w:val="13"/>
        </w:numPr>
        <w:ind w:firstLineChars="0"/>
        <w:jc w:val="left"/>
        <w:rPr>
          <w:bCs/>
        </w:rPr>
      </w:pPr>
      <w:r>
        <w:rPr>
          <w:rFonts w:hint="eastAsia"/>
          <w:b/>
        </w:rPr>
        <w:t xml:space="preserve">Limited Considerations: </w:t>
      </w:r>
      <w:r>
        <w:rPr>
          <w:rFonts w:cs="Times New Roman"/>
          <w:color w:val="000000"/>
          <w:kern w:val="0"/>
          <w:sz w:val="23"/>
          <w:szCs w:val="23"/>
          <w:lang w:bidi="ar"/>
        </w:rPr>
        <w:t>We did not consider</w:t>
      </w:r>
      <w:r>
        <w:rPr>
          <w:rFonts w:hint="eastAsia" w:cs="Times New Roman"/>
          <w:color w:val="000000"/>
          <w:kern w:val="0"/>
          <w:sz w:val="23"/>
          <w:szCs w:val="23"/>
          <w:lang w:bidi="ar"/>
        </w:rPr>
        <w:t xml:space="preserve"> any influencing factors beyond those given i</w:t>
      </w:r>
      <w:r>
        <w:rPr>
          <w:rFonts w:hint="eastAsia"/>
          <w:bCs/>
        </w:rPr>
        <w:t>n the question.</w:t>
      </w:r>
    </w:p>
    <w:p w14:paraId="248B663D">
      <w:pPr>
        <w:pStyle w:val="29"/>
        <w:widowControl/>
        <w:numPr>
          <w:ilvl w:val="0"/>
          <w:numId w:val="13"/>
        </w:numPr>
        <w:ind w:firstLineChars="0"/>
        <w:jc w:val="left"/>
      </w:pPr>
      <w:r>
        <w:rPr>
          <w:rFonts w:hint="eastAsia"/>
          <w:b/>
        </w:rPr>
        <w:t xml:space="preserve">Incomplete Dataset: </w:t>
      </w:r>
      <w:r>
        <w:rPr>
          <w:rFonts w:cs="Times New Roman"/>
          <w:color w:val="000000"/>
          <w:kern w:val="0"/>
          <w:szCs w:val="24"/>
          <w:lang w:bidi="ar"/>
        </w:rPr>
        <w:t xml:space="preserve">The collection of data for </w:t>
      </w:r>
      <w:r>
        <w:rPr>
          <w:rFonts w:hint="eastAsia" w:cs="Times New Roman"/>
          <w:color w:val="000000"/>
          <w:kern w:val="0"/>
          <w:szCs w:val="24"/>
          <w:lang w:bidi="ar"/>
        </w:rPr>
        <w:t>the power consumption of various hardware components</w:t>
      </w:r>
      <w:r>
        <w:rPr>
          <w:rFonts w:cs="Times New Roman"/>
          <w:color w:val="000000"/>
          <w:kern w:val="0"/>
          <w:szCs w:val="24"/>
          <w:lang w:bidi="ar"/>
        </w:rPr>
        <w:t xml:space="preserve"> was very difficult and we had to </w:t>
      </w:r>
      <w:r>
        <w:rPr>
          <w:rFonts w:hint="eastAsia" w:cs="Times New Roman"/>
          <w:color w:val="000000"/>
          <w:kern w:val="0"/>
          <w:szCs w:val="24"/>
          <w:lang w:bidi="ar"/>
        </w:rPr>
        <w:t>use current data as a proxy, which reduced the accuracy of this model to some extent.</w:t>
      </w:r>
    </w:p>
    <w:p w14:paraId="792F81EF">
      <w:pPr>
        <w:ind w:left="312" w:leftChars="130" w:firstLine="480"/>
        <w:rPr>
          <w:bCs/>
        </w:rPr>
      </w:pPr>
    </w:p>
    <w:p w14:paraId="3F0C4038">
      <w:pPr>
        <w:pStyle w:val="3"/>
        <w:spacing w:after="163"/>
      </w:pPr>
      <w:bookmarkStart w:id="45" w:name="_Toc58505786"/>
      <w:bookmarkStart w:id="46" w:name="_Toc4783"/>
      <w:r>
        <w:t>Further Discussion</w:t>
      </w:r>
      <w:bookmarkEnd w:id="45"/>
      <w:bookmarkEnd w:id="46"/>
    </w:p>
    <w:p w14:paraId="2CE54B71">
      <w:pPr>
        <w:ind w:firstLine="480"/>
      </w:pPr>
      <w:bookmarkStart w:id="47" w:name="_Toc58505787"/>
      <w:r>
        <w:rPr>
          <w:rFonts w:hint="eastAsia"/>
        </w:rPr>
        <w:t>For the convenience of calculation, when establishing the model, we only considered one RC parallel branch. In the future, we can attempt to establish a model with two RC parallel branches to obtain a more stable battery power prediction model and acquire more accurate results.</w:t>
      </w:r>
    </w:p>
    <w:p w14:paraId="50EAC105">
      <w:pPr>
        <w:pStyle w:val="2"/>
      </w:pPr>
      <w:bookmarkStart w:id="48" w:name="_Toc22990"/>
      <w:r>
        <w:t>Conclusion</w:t>
      </w:r>
      <w:bookmarkEnd w:id="47"/>
      <w:bookmarkEnd w:id="48"/>
    </w:p>
    <w:p w14:paraId="30E59A80">
      <w:pPr>
        <w:ind w:firstLine="480"/>
      </w:pPr>
      <w:r>
        <w:rPr>
          <w:rFonts w:hint="eastAsia"/>
        </w:rPr>
        <w:t xml:space="preserve">In this study, by establishing a continuous physical model of the battery, we incorporated interplay of electrochemical states, thermodynamics, and random user loads into our further research and explored the relationships between the battery level of mobile phones and various factors. Additionally, through </w:t>
      </w:r>
      <w:r>
        <w:t>numerical simulation approach</w:t>
      </w:r>
      <w:r>
        <w:rPr>
          <w:rFonts w:hint="eastAsia"/>
        </w:rPr>
        <w:t xml:space="preserve"> and </w:t>
      </w:r>
      <w:r>
        <w:t>Monte Carlo Simulation</w:t>
      </w:r>
      <w:r>
        <w:rPr>
          <w:rFonts w:hint="eastAsia"/>
        </w:rPr>
        <w:t xml:space="preserve">, we </w:t>
      </w:r>
      <w:r>
        <w:t>quantify the uncertainty</w:t>
      </w:r>
      <w:r>
        <w:rPr>
          <w:rFonts w:hint="eastAsia"/>
        </w:rPr>
        <w:t xml:space="preserve"> and identify different performance scenarios. Furthermore, through sensitivity tests and hypothesis analysis within the model, we the most influential factors and give useful suggestions. </w:t>
      </w:r>
      <w:r>
        <w:rPr>
          <w:b/>
          <w:bCs/>
          <w:spacing w:val="-1"/>
        </w:rPr>
        <w:t>This</w:t>
      </w:r>
      <w:r>
        <w:rPr>
          <w:b/>
          <w:bCs/>
          <w:spacing w:val="33"/>
        </w:rPr>
        <w:t xml:space="preserve"> </w:t>
      </w:r>
      <w:r>
        <w:rPr>
          <w:b/>
          <w:bCs/>
          <w:spacing w:val="-1"/>
        </w:rPr>
        <w:t>paper</w:t>
      </w:r>
      <w:r>
        <w:rPr>
          <w:b/>
          <w:bCs/>
          <w:spacing w:val="16"/>
        </w:rPr>
        <w:t xml:space="preserve"> </w:t>
      </w:r>
      <w:r>
        <w:rPr>
          <w:b/>
          <w:bCs/>
          <w:spacing w:val="-1"/>
        </w:rPr>
        <w:t>provides</w:t>
      </w:r>
      <w:r>
        <w:rPr>
          <w:b/>
          <w:bCs/>
          <w:spacing w:val="21"/>
        </w:rPr>
        <w:t xml:space="preserve"> </w:t>
      </w:r>
      <w:r>
        <w:rPr>
          <w:b/>
          <w:bCs/>
          <w:spacing w:val="-1"/>
        </w:rPr>
        <w:t>significant</w:t>
      </w:r>
      <w:r>
        <w:rPr>
          <w:b/>
          <w:bCs/>
          <w:spacing w:val="16"/>
        </w:rPr>
        <w:t xml:space="preserve"> </w:t>
      </w:r>
      <w:r>
        <w:rPr>
          <w:b/>
          <w:bCs/>
          <w:spacing w:val="-1"/>
        </w:rPr>
        <w:t>theoretical</w:t>
      </w:r>
      <w:r>
        <w:rPr>
          <w:b/>
          <w:bCs/>
          <w:spacing w:val="20"/>
          <w:w w:val="101"/>
        </w:rPr>
        <w:t xml:space="preserve"> </w:t>
      </w:r>
      <w:r>
        <w:rPr>
          <w:b/>
          <w:bCs/>
          <w:spacing w:val="-1"/>
        </w:rPr>
        <w:t>support</w:t>
      </w:r>
      <w:r>
        <w:rPr>
          <w:b/>
          <w:bCs/>
          <w:spacing w:val="19"/>
        </w:rPr>
        <w:t xml:space="preserve"> </w:t>
      </w:r>
      <w:r>
        <w:rPr>
          <w:b/>
          <w:bCs/>
          <w:spacing w:val="-1"/>
        </w:rPr>
        <w:t>for</w:t>
      </w:r>
      <w:r>
        <w:rPr>
          <w:b/>
          <w:bCs/>
          <w:spacing w:val="16"/>
        </w:rPr>
        <w:t xml:space="preserve"> </w:t>
      </w:r>
      <w:r>
        <w:rPr>
          <w:b/>
          <w:bCs/>
          <w:spacing w:val="-1"/>
        </w:rPr>
        <w:t>the</w:t>
      </w:r>
      <w:r>
        <w:rPr>
          <w:b/>
          <w:bCs/>
          <w:spacing w:val="15"/>
          <w:w w:val="101"/>
        </w:rPr>
        <w:t xml:space="preserve"> </w:t>
      </w:r>
      <w:r>
        <w:rPr>
          <w:rFonts w:hint="eastAsia"/>
          <w:b/>
          <w:bCs/>
          <w:spacing w:val="15"/>
          <w:w w:val="101"/>
        </w:rPr>
        <w:t>prediction</w:t>
      </w:r>
      <w:r>
        <w:rPr>
          <w:b/>
          <w:bCs/>
          <w:spacing w:val="20"/>
        </w:rPr>
        <w:t xml:space="preserve"> </w:t>
      </w:r>
      <w:r>
        <w:rPr>
          <w:b/>
          <w:bCs/>
          <w:spacing w:val="-1"/>
        </w:rPr>
        <w:t xml:space="preserve">of </w:t>
      </w:r>
      <w:r>
        <w:rPr>
          <w:rFonts w:hint="eastAsia"/>
          <w:b/>
          <w:bCs/>
          <w:spacing w:val="-1"/>
        </w:rPr>
        <w:t>the phone battery</w:t>
      </w:r>
      <w:r>
        <w:rPr>
          <w:b/>
          <w:bCs/>
          <w:spacing w:val="-1"/>
        </w:rPr>
        <w:t>,</w:t>
      </w:r>
      <w:r>
        <w:rPr>
          <w:b/>
          <w:bCs/>
        </w:rPr>
        <w:t xml:space="preserve"> </w:t>
      </w:r>
      <w:r>
        <w:rPr>
          <w:rFonts w:hint="eastAsia"/>
          <w:b/>
          <w:bCs/>
          <w:spacing w:val="-1"/>
        </w:rPr>
        <w:t>the variation pattern of the prediction results and useful suggestions of phone using.</w:t>
      </w:r>
    </w:p>
    <w:p w14:paraId="2328C0F1">
      <w:pPr>
        <w:ind w:firstLine="480"/>
      </w:pPr>
    </w:p>
    <w:p w14:paraId="0512D05A">
      <w:pPr>
        <w:widowControl/>
        <w:ind w:firstLine="0" w:firstLineChars="0"/>
        <w:jc w:val="left"/>
      </w:pPr>
    </w:p>
    <w:p w14:paraId="6EE3343E">
      <w:pPr>
        <w:widowControl/>
        <w:ind w:firstLine="0" w:firstLineChars="0"/>
        <w:jc w:val="left"/>
      </w:pPr>
      <w:r>
        <w:br w:type="page"/>
      </w:r>
    </w:p>
    <w:p w14:paraId="39E9A407">
      <w:pPr>
        <w:pStyle w:val="2"/>
        <w:numPr>
          <w:ilvl w:val="0"/>
          <w:numId w:val="0"/>
        </w:numPr>
      </w:pPr>
      <w:bookmarkStart w:id="49" w:name="_Toc58505788"/>
      <w:bookmarkStart w:id="50" w:name="_Toc10639"/>
      <w:r>
        <w:t>References</w:t>
      </w:r>
      <w:bookmarkEnd w:id="49"/>
      <w:bookmarkEnd w:id="50"/>
    </w:p>
    <w:p w14:paraId="60EE900C">
      <w:pPr>
        <w:pStyle w:val="53"/>
      </w:pPr>
      <w:r>
        <w:t xml:space="preserve">Li, H. R., Liu, X. Z., Mei, Q. Z., &amp; Mei, H. (2021). Predicting smartphone battery life by fine-grained usage data. </w:t>
      </w:r>
      <w:r>
        <w:rPr>
          <w:i/>
        </w:rPr>
        <w:t>Journal of Software</w:t>
      </w:r>
      <w:r>
        <w:t>, 32(10), 3219-3235.</w:t>
      </w:r>
    </w:p>
    <w:p w14:paraId="3B1910A6">
      <w:pPr>
        <w:pStyle w:val="53"/>
        <w:rPr>
          <w:rFonts w:hint="eastAsia"/>
        </w:rPr>
      </w:pPr>
      <w:r>
        <w:t xml:space="preserve">Madani, S. S., Shabeer, Y., Allard, F., Fowler, M., Ziebert, C., Wang, Z., Panchal, S., Chaoui, H., Mekhilef, S., Dou, S. X., See, K., &amp; Khalilpour, K. A Comprehensive Review on Lithium-Ion Battery Lifetime Prediction and Aging Mechanism Analysis. </w:t>
      </w:r>
      <w:r>
        <w:rPr>
          <w:i/>
        </w:rPr>
        <w:t>Batteries</w:t>
      </w:r>
      <w:r>
        <w:t>, 2025, 11(4): 127.</w:t>
      </w:r>
    </w:p>
    <w:p w14:paraId="4BA0868C">
      <w:pPr>
        <w:pStyle w:val="53"/>
      </w:pPr>
      <w:r>
        <w:t xml:space="preserve">Barreto Neto, A. S., et al. (2020). Building Energy Consumption Models Based On Smartphone User’s Usage Patterns. Manuscript submitted for publication in </w:t>
      </w:r>
      <w:r>
        <w:rPr>
          <w:i/>
        </w:rPr>
        <w:t>Knowledge-Based Systems</w:t>
      </w:r>
      <w:r>
        <w:t>. arXiv Preprint arXiv:2012.10246v1 [cs.HC].</w:t>
      </w:r>
    </w:p>
    <w:p w14:paraId="68568552">
      <w:pPr>
        <w:pStyle w:val="53"/>
      </w:pPr>
      <w:r>
        <w:t xml:space="preserve">Chen, X., Ding, N., Jindal, A., Hu, Y. C., Gupta, M., Vannithamby, R. Smartphone Energy Drain in the Wild: Analysis and Implications. In </w:t>
      </w:r>
      <w:r>
        <w:rPr>
          <w:i/>
        </w:rPr>
        <w:t>Proceedings of SIGMETRICS ’15</w:t>
      </w:r>
      <w:r>
        <w:t>, Portland, OR, USA, 2015. ACM.</w:t>
      </w:r>
    </w:p>
    <w:p w14:paraId="5A457A2C">
      <w:pPr>
        <w:pStyle w:val="53"/>
      </w:pPr>
      <w:r>
        <w:t>Carroll, A., Heiser, G. An Analysis of Power Consumption in a Smartphone. In ASPLOS ’10 Proceedings of the 16th International Conference on Architectural Support for Programming Languages and Operating Systems, New York, NY, USA, 2010: 155-168. ACM.</w:t>
      </w:r>
    </w:p>
    <w:p w14:paraId="366CCC97">
      <w:pPr>
        <w:pStyle w:val="53"/>
      </w:pPr>
      <w:r>
        <w:t xml:space="preserve">Pramanik, P. K. D., Sinhababu, N., Mukherjee, B., Padmanaban, S., Maity, A., Upadhyaya, B. K., Holm-Nielsen, J. B., Choudhury, P. Power Consumption Analysis, Measurement, Management, and Issues: A State-of-the-Art Review of Smartphone Battery and Energy Usage. </w:t>
      </w:r>
      <w:r>
        <w:rPr>
          <w:i/>
        </w:rPr>
        <w:t>IEEE Access</w:t>
      </w:r>
      <w:r>
        <w:t>, 2019, 7: 182113-182172.</w:t>
      </w:r>
    </w:p>
    <w:p w14:paraId="06F19832">
      <w:pPr>
        <w:pStyle w:val="53"/>
      </w:pPr>
      <w:r>
        <w:t xml:space="preserve">Wang, P. K., Zhang, X. Y., &amp; Zhang, G. H. (2023). Remaining useful life prediction of lithium-ion batteries based on ResNet-Bi-LSTM-Attention model. </w:t>
      </w:r>
      <w:r>
        <w:rPr>
          <w:i/>
        </w:rPr>
        <w:t>Energy Storage Science and Technology</w:t>
      </w:r>
      <w:r>
        <w:t>, 12(4), 1-14.</w:t>
      </w:r>
    </w:p>
    <w:p w14:paraId="7D6879BF">
      <w:pPr>
        <w:pStyle w:val="53"/>
      </w:pPr>
      <w:r>
        <w:t xml:space="preserve">Eure, K. W., &amp; Hogge, E. F. (2022). </w:t>
      </w:r>
      <w:r>
        <w:rPr>
          <w:i/>
        </w:rPr>
        <w:t>Exploration of an Adaptive Routine for Battery Modeling</w:t>
      </w:r>
      <w:r>
        <w:t xml:space="preserve"> (NASA Technical Memorandum No. NASA/TM-20220000668). Langley Research Center, Hampton, VA, USA; National Institute of Aerospace, Hampton, VA, USA.</w:t>
      </w:r>
    </w:p>
    <w:p w14:paraId="2C138E72">
      <w:pPr>
        <w:pStyle w:val="53"/>
      </w:pPr>
      <w:r>
        <w:t xml:space="preserve">Zhang, L. Y., Lu, Z., Wei, L. C., Qi, P. C., Meng, X. Z., Kang, S. N., Zhao, M., &amp; Jin, L. W. (2018). Experimental Research on the Correlation of Lithium-Ion Battery Performance with Temperature Condition. </w:t>
      </w:r>
      <w:r>
        <w:rPr>
          <w:i/>
        </w:rPr>
        <w:t>Hsi-An Chiao Tung Ta Hsueh/Journal of Xi'an Jiaotong University</w:t>
      </w:r>
      <w:r>
        <w:t>, 52(5), 133-141.</w:t>
      </w:r>
    </w:p>
    <w:p w14:paraId="054C8136">
      <w:pPr>
        <w:pStyle w:val="53"/>
      </w:pPr>
      <w:r>
        <w:t xml:space="preserve">Ding, N., Wagner, D., Chen, X. M., Pathak, A., Hu, Y. C., &amp; Rice, A. (2013). Characterizing and modeling the impact of wireless signal strength on smartphone battery drain. </w:t>
      </w:r>
      <w:r>
        <w:rPr>
          <w:i/>
        </w:rPr>
        <w:t>ACM SIGMETRICS Performance Evaluation Review</w:t>
      </w:r>
      <w:r>
        <w:t>, 41(1), 29-40.</w:t>
      </w:r>
    </w:p>
    <w:p w14:paraId="4676BCBA">
      <w:pPr>
        <w:ind w:firstLine="0" w:firstLineChars="0"/>
        <w:jc w:val="center"/>
      </w:pPr>
      <w:r>
        <w:br w:type="page"/>
      </w:r>
    </w:p>
    <w:p w14:paraId="42C49D92">
      <w:pPr>
        <w:pStyle w:val="51"/>
        <w:numPr>
          <w:ilvl w:val="0"/>
          <w:numId w:val="0"/>
        </w:numPr>
        <w:spacing w:before="163"/>
        <w:jc w:val="both"/>
        <w:rPr>
          <w:rFonts w:eastAsia="宋体"/>
        </w:rPr>
      </w:pPr>
    </w:p>
    <w:p w14:paraId="422545C8">
      <w:pPr>
        <w:pStyle w:val="30"/>
        <w:rPr>
          <w:sz w:val="28"/>
          <w:szCs w:val="28"/>
        </w:rPr>
      </w:pPr>
      <w:r>
        <w:rPr>
          <w:rFonts w:hint="eastAsia"/>
          <w:sz w:val="28"/>
          <w:szCs w:val="28"/>
        </w:rPr>
        <w:t>Report on Use of AI Tools</w:t>
      </w:r>
    </w:p>
    <w:p w14:paraId="5930D1C6">
      <w:pPr>
        <w:pStyle w:val="29"/>
        <w:numPr>
          <w:ilvl w:val="0"/>
          <w:numId w:val="14"/>
        </w:numPr>
        <w:ind w:firstLineChars="0"/>
      </w:pPr>
      <w:r>
        <w:t>DeepL Translate (Jan 15, 2026 version)</w:t>
      </w:r>
    </w:p>
    <w:p w14:paraId="3C6E78F4">
      <w:pPr>
        <w:pStyle w:val="29"/>
        <w:ind w:left="920" w:firstLine="0" w:firstLineChars="0"/>
      </w:pPr>
      <w:r>
        <w:t>Uploaded entire paper written in Mandarin to be translated into English.</w:t>
      </w:r>
    </w:p>
    <w:p w14:paraId="24142582">
      <w:pPr>
        <w:pStyle w:val="29"/>
        <w:ind w:left="920" w:firstLine="0" w:firstLineChars="0"/>
      </w:pPr>
    </w:p>
    <w:p w14:paraId="2438408F">
      <w:pPr>
        <w:pStyle w:val="29"/>
        <w:numPr>
          <w:ilvl w:val="0"/>
          <w:numId w:val="14"/>
        </w:numPr>
        <w:ind w:firstLineChars="0"/>
      </w:pPr>
      <w:r>
        <w:t>Google Gemini 3 (Jan 22, 2026 version, Gemini 3 Pro)</w:t>
      </w:r>
    </w:p>
    <w:p w14:paraId="514FCE03">
      <w:pPr>
        <w:pStyle w:val="29"/>
        <w:ind w:left="920" w:firstLine="0" w:firstLineChars="0"/>
      </w:pPr>
      <w:r>
        <w:t>Query: &lt;insert the exact image generation prompts you input into the AI tool&gt;</w:t>
      </w:r>
    </w:p>
    <w:p w14:paraId="3A947A7B">
      <w:pPr>
        <w:pStyle w:val="29"/>
        <w:ind w:left="920" w:firstLine="0" w:firstLineChars="0"/>
      </w:pPr>
      <w:r>
        <w:t>Output: &lt;insert the complete generated image files and prompt iterations from the AI tool&gt;</w:t>
      </w:r>
    </w:p>
    <w:p w14:paraId="6C254F8F">
      <w:pPr>
        <w:pStyle w:val="29"/>
        <w:ind w:left="920" w:firstLine="0" w:firstLineChars="0"/>
      </w:pPr>
    </w:p>
    <w:p w14:paraId="7DDB01A1">
      <w:pPr>
        <w:pStyle w:val="29"/>
        <w:numPr>
          <w:ilvl w:val="0"/>
          <w:numId w:val="14"/>
        </w:numPr>
        <w:ind w:firstLineChars="0"/>
      </w:pPr>
      <w:r>
        <w:t>OpenAI GPT-5.2 (Jan 30, 2026 version)</w:t>
      </w:r>
    </w:p>
    <w:p w14:paraId="55DA69FC">
      <w:pPr>
        <w:pStyle w:val="29"/>
        <w:ind w:left="920" w:firstLine="0" w:firstLineChars="0"/>
      </w:pPr>
      <w:r>
        <w:t>Query: &lt;insert the exact literature search queries and research questions you input into the AI tool&gt;</w:t>
      </w:r>
    </w:p>
    <w:p w14:paraId="4349F54B">
      <w:pPr>
        <w:pStyle w:val="29"/>
        <w:ind w:left="920" w:firstLine="0" w:firstLineChars="0"/>
      </w:pPr>
      <w:r>
        <w:t>Output: &lt;insert the complete literature findings, source links, and summaries from the AI tool&gt;</w:t>
      </w:r>
    </w:p>
    <w:p w14:paraId="3DA832C0">
      <w:pPr>
        <w:pStyle w:val="29"/>
        <w:ind w:left="920" w:firstLine="0" w:firstLineChars="0"/>
      </w:pPr>
    </w:p>
    <w:p w14:paraId="59F4FF5A">
      <w:pPr>
        <w:pStyle w:val="29"/>
        <w:numPr>
          <w:ilvl w:val="0"/>
          <w:numId w:val="14"/>
        </w:numPr>
        <w:ind w:firstLineChars="0"/>
      </w:pPr>
      <w:r>
        <w:t>Alibaba Tongyi Qianwen (Feb 1, 2026 version, Tongyi Qianwen 4.0)</w:t>
      </w:r>
    </w:p>
    <w:p w14:paraId="7F937DA4">
      <w:pPr>
        <w:pStyle w:val="29"/>
        <w:ind w:left="920" w:firstLine="0" w:firstLineChars="0"/>
      </w:pPr>
      <w:r>
        <w:t>Query: &lt;insert the exact code writing requirements/debugging questions you input into the AI tool&gt;</w:t>
      </w:r>
    </w:p>
    <w:p w14:paraId="6266A6CA">
      <w:pPr>
        <w:pStyle w:val="29"/>
        <w:ind w:left="920" w:firstLine="0" w:firstLineChars="0"/>
      </w:pPr>
      <w:r>
        <w:t>Output: &lt;insert the complete code snippets, explanations, and debugging solutions from the AI tool&gt;</w:t>
      </w:r>
    </w:p>
    <w:sectPr>
      <w:headerReference r:id="rId11" w:type="first"/>
      <w:pgSz w:w="11906" w:h="16838"/>
      <w:pgMar w:top="1440" w:right="1440" w:bottom="1440" w:left="1440" w:header="851" w:footer="992" w:gutter="0"/>
      <w:cols w:space="425" w:num="1"/>
      <w:titlePg/>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A972835-A384-48BD-BDB6-37F335477F9E}"/>
  </w:font>
  <w:font w:name="Arial">
    <w:panose1 w:val="020B0604020202020204"/>
    <w:charset w:val="01"/>
    <w:family w:val="swiss"/>
    <w:pitch w:val="default"/>
    <w:sig w:usb0="E0002EFF" w:usb1="C000785B" w:usb2="00000009" w:usb3="00000000" w:csb0="400001FF" w:csb1="FFFF0000"/>
    <w:embedRegular r:id="rId2" w:fontKey="{ECC7E887-04DC-45FC-BF6B-21F33EE3E610}"/>
  </w:font>
  <w:font w:name="黑体">
    <w:panose1 w:val="02010609060101010101"/>
    <w:charset w:val="86"/>
    <w:family w:val="auto"/>
    <w:pitch w:val="default"/>
    <w:sig w:usb0="800002BF" w:usb1="38CF7CFA" w:usb2="00000016" w:usb3="00000000" w:csb0="00040001" w:csb1="00000000"/>
    <w:embedRegular r:id="rId3" w:fontKey="{D813C109-EFC3-4DEB-A449-F5BDD6F6A559}"/>
  </w:font>
  <w:font w:name="Courier New">
    <w:panose1 w:val="02070309020205020404"/>
    <w:charset w:val="01"/>
    <w:family w:val="modern"/>
    <w:pitch w:val="default"/>
    <w:sig w:usb0="E0002EFF" w:usb1="C0007843" w:usb2="00000009" w:usb3="00000000" w:csb0="400001FF" w:csb1="FFFF0000"/>
    <w:embedRegular r:id="rId4" w:fontKey="{67182BFD-30A6-442A-A4E2-416BFCE5C1F5}"/>
  </w:font>
  <w:font w:name="Symbol">
    <w:panose1 w:val="05050102010706020507"/>
    <w:charset w:val="02"/>
    <w:family w:val="roman"/>
    <w:pitch w:val="default"/>
    <w:sig w:usb0="00000000" w:usb1="00000000" w:usb2="00000000" w:usb3="00000000" w:csb0="80000000" w:csb1="00000000"/>
    <w:embedRegular r:id="rId5" w:fontKey="{319A7861-2894-42B4-BCEC-685C299A410E}"/>
  </w:font>
  <w:font w:name="Calibri">
    <w:panose1 w:val="020F0502020204030204"/>
    <w:charset w:val="00"/>
    <w:family w:val="swiss"/>
    <w:pitch w:val="default"/>
    <w:sig w:usb0="E4002EFF" w:usb1="C200247B" w:usb2="00000009" w:usb3="00000000" w:csb0="200001FF" w:csb1="00000000"/>
    <w:embedRegular r:id="rId6" w:fontKey="{85CD72E3-3B70-4C81-A0C3-51FD98CB0E3D}"/>
  </w:font>
  <w:font w:name="等线">
    <w:panose1 w:val="02010600030101010101"/>
    <w:charset w:val="86"/>
    <w:family w:val="auto"/>
    <w:pitch w:val="default"/>
    <w:sig w:usb0="A00002BF" w:usb1="38CF7CFA" w:usb2="00000016" w:usb3="00000000" w:csb0="0004000F" w:csb1="00000000"/>
    <w:embedRegular r:id="rId7" w:fontKey="{2237CAB2-6E26-4E66-A9B0-9D3D75BB9F19}"/>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embedRegular r:id="rId8" w:fontKey="{E251C09D-C240-4430-A1E4-B13B0D8BD4D8}"/>
  </w:font>
  <w:font w:name="Consolas">
    <w:panose1 w:val="020B0609020204030204"/>
    <w:charset w:val="00"/>
    <w:family w:val="modern"/>
    <w:pitch w:val="default"/>
    <w:sig w:usb0="E00006FF" w:usb1="0000FCFF" w:usb2="00000001" w:usb3="00000000" w:csb0="6000019F" w:csb1="DFD70000"/>
    <w:embedRegular r:id="rId9" w:fontKey="{44C0F8CF-F8DD-497F-B6E3-3A11CDF93EB5}"/>
  </w:font>
  <w:font w:name="Arial">
    <w:panose1 w:val="020B0604020202020204"/>
    <w:charset w:val="00"/>
    <w:family w:val="swiss"/>
    <w:pitch w:val="default"/>
    <w:sig w:usb0="E0002EFF" w:usb1="C000785B" w:usb2="00000009" w:usb3="00000000" w:csb0="400001FF" w:csb1="FFFF0000"/>
    <w:embedRegular r:id="rId10" w:fontKey="{F616C8D0-E9EB-44A6-961D-FE531B6FB5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B07ED">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3E143">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BC53A">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60F92">
    <w:pPr>
      <w:pBdr>
        <w:bottom w:val="single" w:color="auto" w:sz="4" w:space="1"/>
      </w:pBdr>
      <w:ind w:firstLine="0" w:firstLineChars="0"/>
      <w:jc w:val="distribute"/>
      <w:rPr>
        <w:rFonts w:ascii="Consolas" w:hAnsi="Consolas" w:cs="Arial"/>
        <w:spacing w:val="-10"/>
        <w:sz w:val="22"/>
        <w:szCs w:val="22"/>
      </w:rPr>
    </w:pPr>
    <w:r>
      <w:rPr>
        <w:rFonts w:ascii="Consolas" w:hAnsi="Consolas" w:cs="Arial"/>
        <w:spacing w:val="-10"/>
        <w:sz w:val="22"/>
        <w:szCs w:val="22"/>
      </w:rPr>
      <w:t>Team #</w:t>
    </w:r>
    <w:r>
      <w:rPr>
        <w:rFonts w:hint="eastAsia" w:ascii="Consolas" w:hAnsi="Consolas" w:cs="Arial"/>
        <w:spacing w:val="-10"/>
        <w:sz w:val="22"/>
        <w:szCs w:val="22"/>
        <w:lang w:val="en-US" w:eastAsia="zh-CN"/>
      </w:rPr>
      <w:t xml:space="preserve"> </w:t>
    </w:r>
    <w:r>
      <w:rPr>
        <w:rFonts w:hint="eastAsia" w:ascii="Consolas" w:hAnsi="Consolas" w:cs="Arial"/>
        <w:spacing w:val="-10"/>
        <w:sz w:val="22"/>
        <w:szCs w:val="22"/>
      </w:rPr>
      <w:t>2620627</w:t>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fldChar w:fldCharType="begin"/>
    </w:r>
    <w:r>
      <w:rPr>
        <w:rFonts w:ascii="Consolas" w:hAnsi="Consolas" w:cs="Arial"/>
        <w:spacing w:val="-10"/>
        <w:sz w:val="22"/>
        <w:szCs w:val="22"/>
      </w:rPr>
      <w:instrText xml:space="preserve"> </w:instrText>
    </w:r>
    <w:r>
      <w:rPr>
        <w:rFonts w:ascii="Consolas" w:hAnsi="Consolas" w:cs="Arial"/>
        <w:spacing w:val="-10"/>
        <w:sz w:val="22"/>
        <w:szCs w:val="22"/>
      </w:rPr>
      <w:fldChar w:fldCharType="begin"/>
    </w:r>
    <w:r>
      <w:rPr>
        <w:rFonts w:ascii="Consolas" w:hAnsi="Consolas" w:cs="Arial"/>
        <w:spacing w:val="-10"/>
        <w:sz w:val="22"/>
        <w:szCs w:val="22"/>
      </w:rPr>
      <w:instrText xml:space="preserve"> page </w:instrText>
    </w:r>
    <w:r>
      <w:rPr>
        <w:rFonts w:ascii="Consolas" w:hAnsi="Consolas" w:cs="Arial"/>
        <w:spacing w:val="-10"/>
        <w:sz w:val="22"/>
        <w:szCs w:val="22"/>
      </w:rPr>
      <w:fldChar w:fldCharType="separate"/>
    </w:r>
    <w:r>
      <w:rPr>
        <w:rFonts w:ascii="Consolas" w:hAnsi="Consolas" w:cs="Arial"/>
        <w:spacing w:val="-10"/>
        <w:sz w:val="22"/>
        <w:szCs w:val="22"/>
      </w:rPr>
      <w:instrText xml:space="preserve">21</w:instrText>
    </w:r>
    <w:r>
      <w:rPr>
        <w:rFonts w:ascii="Consolas" w:hAnsi="Consolas" w:cs="Arial"/>
        <w:spacing w:val="-10"/>
        <w:sz w:val="22"/>
        <w:szCs w:val="22"/>
      </w:rPr>
      <w:fldChar w:fldCharType="end"/>
    </w:r>
    <w:r>
      <w:rPr>
        <w:rFonts w:ascii="Consolas" w:hAnsi="Consolas" w:cs="Arial"/>
        <w:spacing w:val="-10"/>
        <w:sz w:val="22"/>
        <w:szCs w:val="22"/>
      </w:rPr>
      <w:instrText xml:space="preserve">+1 </w:instrText>
    </w:r>
    <w:r>
      <w:rPr>
        <w:rFonts w:ascii="Consolas" w:hAnsi="Consolas" w:cs="Arial"/>
        <w:spacing w:val="-10"/>
        <w:sz w:val="22"/>
        <w:szCs w:val="22"/>
      </w:rPr>
      <w:fldChar w:fldCharType="end"/>
    </w:r>
    <w:r>
      <w:rPr>
        <w:rFonts w:ascii="Consolas" w:hAnsi="Consolas" w:cs="Arial"/>
        <w:spacing w:val="-10"/>
        <w:sz w:val="22"/>
        <w:szCs w:val="22"/>
      </w:rPr>
      <w:t>Page</w:t>
    </w:r>
    <w:sdt>
      <w:sdtPr>
        <w:rPr>
          <w:rFonts w:ascii="Consolas" w:hAnsi="Consolas" w:cs="Arial"/>
          <w:spacing w:val="-10"/>
          <w:sz w:val="22"/>
          <w:szCs w:val="22"/>
        </w:rPr>
        <w:id w:val="-1318336367"/>
        <w:docPartObj>
          <w:docPartGallery w:val="AutoText"/>
        </w:docPartObj>
      </w:sdtPr>
      <w:sdtEndPr>
        <w:rPr>
          <w:rFonts w:ascii="Consolas" w:hAnsi="Consolas" w:cs="Arial"/>
          <w:spacing w:val="-10"/>
          <w:sz w:val="22"/>
          <w:szCs w:val="22"/>
        </w:rPr>
      </w:sdtEndPr>
      <w:sdtContent>
        <w:r>
          <w:rPr>
            <w:rFonts w:ascii="Consolas" w:hAnsi="Consolas" w:cs="Arial"/>
            <w:spacing w:val="-10"/>
            <w:sz w:val="22"/>
            <w:szCs w:val="22"/>
          </w:rPr>
          <w:t xml:space="preserve"> </w:t>
        </w:r>
        <w:r>
          <w:rPr>
            <w:rFonts w:ascii="Consolas" w:hAnsi="Consolas" w:cs="Arial"/>
            <w:spacing w:val="-10"/>
            <w:sz w:val="22"/>
            <w:szCs w:val="22"/>
          </w:rPr>
          <w:fldChar w:fldCharType="begin"/>
        </w:r>
        <w:r>
          <w:rPr>
            <w:rFonts w:ascii="Consolas" w:hAnsi="Consolas" w:cs="Arial"/>
            <w:spacing w:val="-10"/>
            <w:sz w:val="22"/>
            <w:szCs w:val="22"/>
          </w:rPr>
          <w:instrText xml:space="preserve">= </w:instrText>
        </w:r>
        <w:r>
          <w:rPr>
            <w:rFonts w:ascii="Consolas" w:hAnsi="Consolas" w:cs="Arial"/>
            <w:spacing w:val="-10"/>
            <w:sz w:val="22"/>
            <w:szCs w:val="22"/>
          </w:rPr>
          <w:fldChar w:fldCharType="begin"/>
        </w:r>
        <w:r>
          <w:rPr>
            <w:rFonts w:ascii="Consolas" w:hAnsi="Consolas" w:cs="Arial"/>
            <w:spacing w:val="-10"/>
            <w:sz w:val="22"/>
            <w:szCs w:val="22"/>
          </w:rPr>
          <w:instrText xml:space="preserve"> PAGE </w:instrText>
        </w:r>
        <w:r>
          <w:rPr>
            <w:rFonts w:ascii="Consolas" w:hAnsi="Consolas" w:cs="Arial"/>
            <w:spacing w:val="-10"/>
            <w:sz w:val="22"/>
            <w:szCs w:val="22"/>
          </w:rPr>
          <w:fldChar w:fldCharType="separate"/>
        </w:r>
        <w:r>
          <w:rPr>
            <w:rFonts w:ascii="Consolas" w:hAnsi="Consolas" w:cs="Arial"/>
            <w:spacing w:val="-10"/>
            <w:sz w:val="22"/>
            <w:szCs w:val="22"/>
          </w:rPr>
          <w:instrText xml:space="preserve">21</w:instrText>
        </w:r>
        <w:r>
          <w:rPr>
            <w:rFonts w:ascii="Consolas" w:hAnsi="Consolas" w:cs="Arial"/>
            <w:spacing w:val="-10"/>
            <w:sz w:val="22"/>
            <w:szCs w:val="22"/>
          </w:rPr>
          <w:fldChar w:fldCharType="end"/>
        </w:r>
        <w:r>
          <w:rPr>
            <w:rFonts w:ascii="Consolas" w:hAnsi="Consolas" w:cs="Arial"/>
            <w:spacing w:val="-10"/>
            <w:sz w:val="22"/>
            <w:szCs w:val="22"/>
          </w:rPr>
          <w:instrText xml:space="preserve"> </w:instrText>
        </w:r>
        <w:r>
          <w:rPr>
            <w:rFonts w:ascii="Consolas" w:hAnsi="Consolas" w:cs="Arial"/>
            <w:spacing w:val="-10"/>
            <w:sz w:val="22"/>
            <w:szCs w:val="22"/>
          </w:rPr>
          <w:fldChar w:fldCharType="separate"/>
        </w:r>
        <w:r>
          <w:rPr>
            <w:rFonts w:ascii="Consolas" w:hAnsi="Consolas" w:cs="Arial"/>
            <w:spacing w:val="-10"/>
            <w:sz w:val="22"/>
            <w:szCs w:val="22"/>
          </w:rPr>
          <w:t>21</w:t>
        </w:r>
        <w:r>
          <w:rPr>
            <w:rFonts w:ascii="Consolas" w:hAnsi="Consolas" w:cs="Arial"/>
            <w:spacing w:val="-10"/>
            <w:sz w:val="22"/>
            <w:szCs w:val="22"/>
          </w:rPr>
          <w:fldChar w:fldCharType="end"/>
        </w:r>
        <w:r>
          <w:rPr>
            <w:rFonts w:ascii="Consolas" w:hAnsi="Consolas" w:cs="Arial"/>
            <w:spacing w:val="-10"/>
            <w:sz w:val="22"/>
            <w:szCs w:val="22"/>
          </w:rPr>
          <w:t xml:space="preserve"> of </w:t>
        </w:r>
      </w:sdtContent>
    </w:sdt>
    <w:r>
      <w:rPr>
        <w:rFonts w:ascii="Consolas" w:hAnsi="Consolas" w:cs="Arial"/>
        <w:spacing w:val="-10"/>
        <w:sz w:val="22"/>
        <w:szCs w:val="22"/>
      </w:rPr>
      <w:fldChar w:fldCharType="begin"/>
    </w:r>
    <w:r>
      <w:rPr>
        <w:rFonts w:ascii="Consolas" w:hAnsi="Consolas" w:cs="Arial"/>
        <w:spacing w:val="-10"/>
        <w:sz w:val="22"/>
        <w:szCs w:val="22"/>
      </w:rPr>
      <w:instrText xml:space="preserve">NUMPAGES</w:instrText>
    </w:r>
    <w:r>
      <w:rPr>
        <w:rFonts w:ascii="Consolas" w:hAnsi="Consolas" w:cs="Arial"/>
        <w:spacing w:val="-10"/>
        <w:sz w:val="22"/>
        <w:szCs w:val="22"/>
      </w:rPr>
      <w:fldChar w:fldCharType="separate"/>
    </w:r>
    <w:r>
      <w:rPr>
        <w:rFonts w:ascii="Consolas" w:hAnsi="Consolas" w:cs="Arial"/>
        <w:spacing w:val="-10"/>
        <w:sz w:val="22"/>
        <w:szCs w:val="22"/>
      </w:rPr>
      <w:t>11</w:t>
    </w:r>
    <w:r>
      <w:rPr>
        <w:rFonts w:ascii="Consolas" w:hAnsi="Consolas" w:cs="Arial"/>
        <w:spacing w:val="-10"/>
        <w:sz w:val="22"/>
        <w:szCs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87891">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895A0">
    <w:pPr>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076AA">
    <w:pPr>
      <w:pBdr>
        <w:bottom w:val="single" w:color="auto" w:sz="4" w:space="1"/>
      </w:pBdr>
      <w:ind w:firstLine="0" w:firstLineChars="0"/>
      <w:jc w:val="distribute"/>
      <w:rPr>
        <w:rFonts w:ascii="Consolas" w:hAnsi="Consolas" w:cs="Arial"/>
        <w:spacing w:val="-10"/>
        <w:sz w:val="22"/>
        <w:szCs w:val="22"/>
      </w:rPr>
    </w:pPr>
    <w:r>
      <w:rPr>
        <w:rFonts w:ascii="Consolas" w:hAnsi="Consolas" w:cs="Arial"/>
        <w:spacing w:val="-10"/>
        <w:sz w:val="22"/>
        <w:szCs w:val="22"/>
      </w:rPr>
      <w:t>Team # 2620627</w:t>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tab/>
    </w:r>
    <w:r>
      <w:rPr>
        <w:rFonts w:ascii="Consolas" w:hAnsi="Consolas" w:cs="Arial"/>
        <w:spacing w:val="-10"/>
        <w:sz w:val="22"/>
        <w:szCs w:val="22"/>
      </w:rPr>
      <w:fldChar w:fldCharType="begin"/>
    </w:r>
    <w:r>
      <w:rPr>
        <w:rFonts w:ascii="Consolas" w:hAnsi="Consolas" w:cs="Arial"/>
        <w:spacing w:val="-10"/>
        <w:sz w:val="22"/>
        <w:szCs w:val="22"/>
      </w:rPr>
      <w:instrText xml:space="preserve"> </w:instrText>
    </w:r>
    <w:r>
      <w:rPr>
        <w:rFonts w:ascii="Consolas" w:hAnsi="Consolas" w:cs="Arial"/>
        <w:spacing w:val="-10"/>
        <w:sz w:val="22"/>
        <w:szCs w:val="22"/>
      </w:rPr>
      <w:fldChar w:fldCharType="begin"/>
    </w:r>
    <w:r>
      <w:rPr>
        <w:rFonts w:ascii="Consolas" w:hAnsi="Consolas" w:cs="Arial"/>
        <w:spacing w:val="-10"/>
        <w:sz w:val="22"/>
        <w:szCs w:val="22"/>
      </w:rPr>
      <w:instrText xml:space="preserve"> page </w:instrText>
    </w:r>
    <w:r>
      <w:rPr>
        <w:rFonts w:ascii="Consolas" w:hAnsi="Consolas" w:cs="Arial"/>
        <w:spacing w:val="-10"/>
        <w:sz w:val="22"/>
        <w:szCs w:val="22"/>
      </w:rPr>
      <w:fldChar w:fldCharType="separate"/>
    </w:r>
    <w:r>
      <w:rPr>
        <w:rFonts w:ascii="Consolas" w:hAnsi="Consolas" w:cs="Arial"/>
        <w:spacing w:val="-10"/>
        <w:sz w:val="22"/>
        <w:szCs w:val="22"/>
      </w:rPr>
      <w:instrText xml:space="preserve">2</w:instrText>
    </w:r>
    <w:r>
      <w:rPr>
        <w:rFonts w:ascii="Consolas" w:hAnsi="Consolas" w:cs="Arial"/>
        <w:spacing w:val="-10"/>
        <w:sz w:val="22"/>
        <w:szCs w:val="22"/>
      </w:rPr>
      <w:fldChar w:fldCharType="end"/>
    </w:r>
    <w:r>
      <w:rPr>
        <w:rFonts w:ascii="Consolas" w:hAnsi="Consolas" w:cs="Arial"/>
        <w:spacing w:val="-10"/>
        <w:sz w:val="22"/>
        <w:szCs w:val="22"/>
      </w:rPr>
      <w:instrText xml:space="preserve">+1 </w:instrText>
    </w:r>
    <w:r>
      <w:rPr>
        <w:rFonts w:ascii="Consolas" w:hAnsi="Consolas" w:cs="Arial"/>
        <w:spacing w:val="-10"/>
        <w:sz w:val="22"/>
        <w:szCs w:val="22"/>
      </w:rPr>
      <w:fldChar w:fldCharType="end"/>
    </w:r>
    <w:r>
      <w:rPr>
        <w:rFonts w:ascii="Consolas" w:hAnsi="Consolas" w:cs="Arial"/>
        <w:spacing w:val="-10"/>
        <w:sz w:val="22"/>
        <w:szCs w:val="22"/>
      </w:rPr>
      <w:t xml:space="preserve"> Page</w:t>
    </w:r>
    <w:sdt>
      <w:sdtPr>
        <w:rPr>
          <w:rFonts w:ascii="Consolas" w:hAnsi="Consolas" w:cs="Arial"/>
          <w:spacing w:val="-10"/>
          <w:sz w:val="22"/>
          <w:szCs w:val="22"/>
        </w:rPr>
        <w:id w:val="884914075"/>
        <w:docPartObj>
          <w:docPartGallery w:val="AutoText"/>
        </w:docPartObj>
      </w:sdtPr>
      <w:sdtEndPr>
        <w:rPr>
          <w:rFonts w:ascii="Consolas" w:hAnsi="Consolas" w:cs="Arial"/>
          <w:spacing w:val="-10"/>
          <w:sz w:val="22"/>
          <w:szCs w:val="22"/>
        </w:rPr>
      </w:sdtEndPr>
      <w:sdtContent>
        <w:r>
          <w:rPr>
            <w:rFonts w:ascii="Consolas" w:hAnsi="Consolas" w:cs="Arial"/>
            <w:spacing w:val="-10"/>
            <w:sz w:val="22"/>
            <w:szCs w:val="22"/>
          </w:rPr>
          <w:t xml:space="preserve"> </w:t>
        </w:r>
        <w:r>
          <w:rPr>
            <w:rFonts w:ascii="Consolas" w:hAnsi="Consolas" w:cs="Arial"/>
            <w:spacing w:val="-10"/>
            <w:sz w:val="22"/>
            <w:szCs w:val="22"/>
          </w:rPr>
          <w:fldChar w:fldCharType="begin"/>
        </w:r>
        <w:r>
          <w:rPr>
            <w:rFonts w:ascii="Consolas" w:hAnsi="Consolas" w:cs="Arial"/>
            <w:spacing w:val="-10"/>
            <w:sz w:val="22"/>
            <w:szCs w:val="22"/>
          </w:rPr>
          <w:instrText xml:space="preserve">= </w:instrText>
        </w:r>
        <w:r>
          <w:rPr>
            <w:rFonts w:ascii="Consolas" w:hAnsi="Consolas" w:cs="Arial"/>
            <w:spacing w:val="-10"/>
            <w:sz w:val="22"/>
            <w:szCs w:val="22"/>
          </w:rPr>
          <w:fldChar w:fldCharType="begin"/>
        </w:r>
        <w:r>
          <w:rPr>
            <w:rFonts w:ascii="Consolas" w:hAnsi="Consolas" w:cs="Arial"/>
            <w:spacing w:val="-10"/>
            <w:sz w:val="22"/>
            <w:szCs w:val="22"/>
          </w:rPr>
          <w:instrText xml:space="preserve"> PAGE </w:instrText>
        </w:r>
        <w:r>
          <w:rPr>
            <w:rFonts w:ascii="Consolas" w:hAnsi="Consolas" w:cs="Arial"/>
            <w:spacing w:val="-10"/>
            <w:sz w:val="22"/>
            <w:szCs w:val="22"/>
          </w:rPr>
          <w:fldChar w:fldCharType="separate"/>
        </w:r>
        <w:r>
          <w:rPr>
            <w:rFonts w:ascii="Consolas" w:hAnsi="Consolas" w:cs="Arial"/>
            <w:spacing w:val="-10"/>
            <w:sz w:val="22"/>
            <w:szCs w:val="22"/>
          </w:rPr>
          <w:instrText xml:space="preserve">2</w:instrText>
        </w:r>
        <w:r>
          <w:rPr>
            <w:rFonts w:ascii="Consolas" w:hAnsi="Consolas" w:cs="Arial"/>
            <w:spacing w:val="-10"/>
            <w:sz w:val="22"/>
            <w:szCs w:val="22"/>
          </w:rPr>
          <w:fldChar w:fldCharType="end"/>
        </w:r>
        <w:r>
          <w:rPr>
            <w:rFonts w:ascii="Consolas" w:hAnsi="Consolas" w:cs="Arial"/>
            <w:spacing w:val="-10"/>
            <w:sz w:val="22"/>
            <w:szCs w:val="22"/>
          </w:rPr>
          <w:instrText xml:space="preserve"> </w:instrText>
        </w:r>
        <w:r>
          <w:rPr>
            <w:rFonts w:ascii="Consolas" w:hAnsi="Consolas" w:cs="Arial"/>
            <w:spacing w:val="-10"/>
            <w:sz w:val="22"/>
            <w:szCs w:val="22"/>
          </w:rPr>
          <w:fldChar w:fldCharType="separate"/>
        </w:r>
        <w:r>
          <w:rPr>
            <w:rFonts w:ascii="Consolas" w:hAnsi="Consolas" w:cs="Arial"/>
            <w:spacing w:val="-10"/>
            <w:sz w:val="22"/>
            <w:szCs w:val="22"/>
          </w:rPr>
          <w:t>2</w:t>
        </w:r>
        <w:r>
          <w:rPr>
            <w:rFonts w:ascii="Consolas" w:hAnsi="Consolas" w:cs="Arial"/>
            <w:spacing w:val="-10"/>
            <w:sz w:val="22"/>
            <w:szCs w:val="22"/>
          </w:rPr>
          <w:fldChar w:fldCharType="end"/>
        </w:r>
        <w:r>
          <w:rPr>
            <w:rFonts w:ascii="Consolas" w:hAnsi="Consolas" w:cs="Arial"/>
            <w:spacing w:val="-10"/>
            <w:sz w:val="22"/>
            <w:szCs w:val="22"/>
          </w:rPr>
          <w:t xml:space="preserve"> of </w:t>
        </w:r>
      </w:sdtContent>
    </w:sdt>
    <w:r>
      <w:rPr>
        <w:rFonts w:ascii="Consolas" w:hAnsi="Consolas" w:cs="Arial"/>
        <w:spacing w:val="-10"/>
        <w:sz w:val="22"/>
        <w:szCs w:val="22"/>
      </w:rPr>
      <w:fldChar w:fldCharType="begin"/>
    </w:r>
    <w:r>
      <w:rPr>
        <w:rFonts w:ascii="Consolas" w:hAnsi="Consolas" w:cs="Arial"/>
        <w:spacing w:val="-10"/>
        <w:sz w:val="22"/>
        <w:szCs w:val="22"/>
      </w:rPr>
      <w:instrText xml:space="preserve">NUMPAGES</w:instrText>
    </w:r>
    <w:r>
      <w:rPr>
        <w:rFonts w:ascii="Consolas" w:hAnsi="Consolas" w:cs="Arial"/>
        <w:spacing w:val="-10"/>
        <w:sz w:val="22"/>
        <w:szCs w:val="22"/>
      </w:rPr>
      <w:fldChar w:fldCharType="separate"/>
    </w:r>
    <w:r>
      <w:rPr>
        <w:rFonts w:ascii="Consolas" w:hAnsi="Consolas" w:cs="Arial"/>
        <w:spacing w:val="-10"/>
        <w:sz w:val="22"/>
        <w:szCs w:val="22"/>
      </w:rPr>
      <w:t>11</w:t>
    </w:r>
    <w:r>
      <w:rPr>
        <w:rFonts w:ascii="Consolas" w:hAnsi="Consolas" w:cs="Arial"/>
        <w:spacing w:val="-10"/>
        <w:sz w:val="22"/>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abstractNum w:abstractNumId="0">
    <w:nsid w:val="05681389"/>
    <w:multiLevelType w:val="multilevel"/>
    <w:tmpl w:val="05681389"/>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
    <w:nsid w:val="0BB372E5"/>
    <w:multiLevelType w:val="multilevel"/>
    <w:tmpl w:val="0BB372E5"/>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2">
    <w:nsid w:val="1B985F33"/>
    <w:multiLevelType w:val="multilevel"/>
    <w:tmpl w:val="1B985F33"/>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1C4004E1"/>
    <w:multiLevelType w:val="multilevel"/>
    <w:tmpl w:val="1C4004E1"/>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4">
    <w:nsid w:val="1E0A1826"/>
    <w:multiLevelType w:val="multilevel"/>
    <w:tmpl w:val="1E0A1826"/>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5">
    <w:nsid w:val="2D16571F"/>
    <w:multiLevelType w:val="multilevel"/>
    <w:tmpl w:val="2D16571F"/>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6">
    <w:nsid w:val="391A550F"/>
    <w:multiLevelType w:val="multilevel"/>
    <w:tmpl w:val="391A550F"/>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7">
    <w:nsid w:val="4FE36AA6"/>
    <w:multiLevelType w:val="multilevel"/>
    <w:tmpl w:val="4FE36AA6"/>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8">
    <w:nsid w:val="58A50249"/>
    <w:multiLevelType w:val="multilevel"/>
    <w:tmpl w:val="58A50249"/>
    <w:lvl w:ilvl="0" w:tentative="0">
      <w:start w:val="1"/>
      <w:numFmt w:val="bullet"/>
      <w:lvlText w:val=""/>
      <w:lvlPicBulletId w:val="0"/>
      <w:lvlJc w:val="left"/>
      <w:pPr>
        <w:ind w:left="1360" w:hanging="440"/>
      </w:pPr>
      <w:rPr>
        <w:rFonts w:hint="default" w:ascii="Wingdings" w:hAnsi="Wingdings"/>
      </w:rPr>
    </w:lvl>
    <w:lvl w:ilvl="1" w:tentative="0">
      <w:start w:val="1"/>
      <w:numFmt w:val="bullet"/>
      <w:lvlText w:val=""/>
      <w:lvlJc w:val="left"/>
      <w:pPr>
        <w:ind w:left="1800" w:hanging="440"/>
      </w:pPr>
      <w:rPr>
        <w:rFonts w:hint="default" w:ascii="Wingdings" w:hAnsi="Wingdings"/>
      </w:rPr>
    </w:lvl>
    <w:lvl w:ilvl="2" w:tentative="0">
      <w:start w:val="1"/>
      <w:numFmt w:val="bullet"/>
      <w:lvlText w:val=""/>
      <w:lvlJc w:val="left"/>
      <w:pPr>
        <w:ind w:left="2240" w:hanging="440"/>
      </w:pPr>
      <w:rPr>
        <w:rFonts w:hint="default" w:ascii="Wingdings" w:hAnsi="Wingdings"/>
      </w:rPr>
    </w:lvl>
    <w:lvl w:ilvl="3" w:tentative="0">
      <w:start w:val="1"/>
      <w:numFmt w:val="bullet"/>
      <w:lvlText w:val=""/>
      <w:lvlJc w:val="left"/>
      <w:pPr>
        <w:ind w:left="2680" w:hanging="440"/>
      </w:pPr>
      <w:rPr>
        <w:rFonts w:hint="default" w:ascii="Wingdings" w:hAnsi="Wingdings"/>
      </w:rPr>
    </w:lvl>
    <w:lvl w:ilvl="4" w:tentative="0">
      <w:start w:val="1"/>
      <w:numFmt w:val="bullet"/>
      <w:lvlText w:val=""/>
      <w:lvlJc w:val="left"/>
      <w:pPr>
        <w:ind w:left="3120" w:hanging="440"/>
      </w:pPr>
      <w:rPr>
        <w:rFonts w:hint="default" w:ascii="Wingdings" w:hAnsi="Wingdings"/>
      </w:rPr>
    </w:lvl>
    <w:lvl w:ilvl="5" w:tentative="0">
      <w:start w:val="1"/>
      <w:numFmt w:val="bullet"/>
      <w:lvlText w:val=""/>
      <w:lvlJc w:val="left"/>
      <w:pPr>
        <w:ind w:left="3560" w:hanging="440"/>
      </w:pPr>
      <w:rPr>
        <w:rFonts w:hint="default" w:ascii="Wingdings" w:hAnsi="Wingdings"/>
      </w:rPr>
    </w:lvl>
    <w:lvl w:ilvl="6" w:tentative="0">
      <w:start w:val="1"/>
      <w:numFmt w:val="bullet"/>
      <w:lvlText w:val=""/>
      <w:lvlJc w:val="left"/>
      <w:pPr>
        <w:ind w:left="4000" w:hanging="440"/>
      </w:pPr>
      <w:rPr>
        <w:rFonts w:hint="default" w:ascii="Wingdings" w:hAnsi="Wingdings"/>
      </w:rPr>
    </w:lvl>
    <w:lvl w:ilvl="7" w:tentative="0">
      <w:start w:val="1"/>
      <w:numFmt w:val="bullet"/>
      <w:lvlText w:val=""/>
      <w:lvlJc w:val="left"/>
      <w:pPr>
        <w:ind w:left="4440" w:hanging="440"/>
      </w:pPr>
      <w:rPr>
        <w:rFonts w:hint="default" w:ascii="Wingdings" w:hAnsi="Wingdings"/>
      </w:rPr>
    </w:lvl>
    <w:lvl w:ilvl="8" w:tentative="0">
      <w:start w:val="1"/>
      <w:numFmt w:val="bullet"/>
      <w:lvlText w:val=""/>
      <w:lvlJc w:val="left"/>
      <w:pPr>
        <w:ind w:left="4880" w:hanging="440"/>
      </w:pPr>
      <w:rPr>
        <w:rFonts w:hint="default" w:ascii="Wingdings" w:hAnsi="Wingdings"/>
      </w:rPr>
    </w:lvl>
  </w:abstractNum>
  <w:abstractNum w:abstractNumId="9">
    <w:nsid w:val="5C1F530A"/>
    <w:multiLevelType w:val="multilevel"/>
    <w:tmpl w:val="5C1F530A"/>
    <w:lvl w:ilvl="0" w:tentative="0">
      <w:start w:val="1"/>
      <w:numFmt w:val="bullet"/>
      <w:lvlText w:val=""/>
      <w:lvlJc w:val="left"/>
      <w:pPr>
        <w:ind w:left="1360" w:hanging="440"/>
      </w:pPr>
      <w:rPr>
        <w:rFonts w:hint="default" w:ascii="Wingdings" w:hAnsi="Wingdings"/>
      </w:rPr>
    </w:lvl>
    <w:lvl w:ilvl="1" w:tentative="0">
      <w:start w:val="1"/>
      <w:numFmt w:val="bullet"/>
      <w:lvlText w:val=""/>
      <w:lvlJc w:val="left"/>
      <w:pPr>
        <w:ind w:left="1800" w:hanging="440"/>
      </w:pPr>
      <w:rPr>
        <w:rFonts w:hint="default" w:ascii="Wingdings" w:hAnsi="Wingdings"/>
      </w:rPr>
    </w:lvl>
    <w:lvl w:ilvl="2" w:tentative="0">
      <w:start w:val="1"/>
      <w:numFmt w:val="bullet"/>
      <w:lvlText w:val=""/>
      <w:lvlJc w:val="left"/>
      <w:pPr>
        <w:ind w:left="2240" w:hanging="440"/>
      </w:pPr>
      <w:rPr>
        <w:rFonts w:hint="default" w:ascii="Wingdings" w:hAnsi="Wingdings"/>
      </w:rPr>
    </w:lvl>
    <w:lvl w:ilvl="3" w:tentative="0">
      <w:start w:val="1"/>
      <w:numFmt w:val="bullet"/>
      <w:lvlText w:val=""/>
      <w:lvlJc w:val="left"/>
      <w:pPr>
        <w:ind w:left="2680" w:hanging="440"/>
      </w:pPr>
      <w:rPr>
        <w:rFonts w:hint="default" w:ascii="Wingdings" w:hAnsi="Wingdings"/>
      </w:rPr>
    </w:lvl>
    <w:lvl w:ilvl="4" w:tentative="0">
      <w:start w:val="1"/>
      <w:numFmt w:val="bullet"/>
      <w:lvlText w:val=""/>
      <w:lvlJc w:val="left"/>
      <w:pPr>
        <w:ind w:left="3120" w:hanging="440"/>
      </w:pPr>
      <w:rPr>
        <w:rFonts w:hint="default" w:ascii="Wingdings" w:hAnsi="Wingdings"/>
      </w:rPr>
    </w:lvl>
    <w:lvl w:ilvl="5" w:tentative="0">
      <w:start w:val="1"/>
      <w:numFmt w:val="bullet"/>
      <w:lvlText w:val=""/>
      <w:lvlJc w:val="left"/>
      <w:pPr>
        <w:ind w:left="3560" w:hanging="440"/>
      </w:pPr>
      <w:rPr>
        <w:rFonts w:hint="default" w:ascii="Wingdings" w:hAnsi="Wingdings"/>
      </w:rPr>
    </w:lvl>
    <w:lvl w:ilvl="6" w:tentative="0">
      <w:start w:val="1"/>
      <w:numFmt w:val="bullet"/>
      <w:lvlText w:val=""/>
      <w:lvlJc w:val="left"/>
      <w:pPr>
        <w:ind w:left="4000" w:hanging="440"/>
      </w:pPr>
      <w:rPr>
        <w:rFonts w:hint="default" w:ascii="Wingdings" w:hAnsi="Wingdings"/>
      </w:rPr>
    </w:lvl>
    <w:lvl w:ilvl="7" w:tentative="0">
      <w:start w:val="1"/>
      <w:numFmt w:val="bullet"/>
      <w:lvlText w:val=""/>
      <w:lvlJc w:val="left"/>
      <w:pPr>
        <w:ind w:left="4440" w:hanging="440"/>
      </w:pPr>
      <w:rPr>
        <w:rFonts w:hint="default" w:ascii="Wingdings" w:hAnsi="Wingdings"/>
      </w:rPr>
    </w:lvl>
    <w:lvl w:ilvl="8" w:tentative="0">
      <w:start w:val="1"/>
      <w:numFmt w:val="bullet"/>
      <w:lvlText w:val=""/>
      <w:lvlJc w:val="left"/>
      <w:pPr>
        <w:ind w:left="4880" w:hanging="440"/>
      </w:pPr>
      <w:rPr>
        <w:rFonts w:hint="default" w:ascii="Wingdings" w:hAnsi="Wingdings"/>
      </w:rPr>
    </w:lvl>
  </w:abstractNum>
  <w:abstractNum w:abstractNumId="10">
    <w:nsid w:val="64D05D60"/>
    <w:multiLevelType w:val="multilevel"/>
    <w:tmpl w:val="64D05D60"/>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11">
    <w:nsid w:val="6C292E12"/>
    <w:multiLevelType w:val="multilevel"/>
    <w:tmpl w:val="6C292E12"/>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2">
    <w:nsid w:val="73CD4293"/>
    <w:multiLevelType w:val="multilevel"/>
    <w:tmpl w:val="73CD4293"/>
    <w:lvl w:ilvl="0" w:tentative="0">
      <w:start w:val="1"/>
      <w:numFmt w:val="chineseCountingThousand"/>
      <w:pStyle w:val="2"/>
      <w:isLgl/>
      <w:suff w:val="space"/>
      <w:lvlText w:val="%1"/>
      <w:lvlJc w:val="left"/>
      <w:pPr>
        <w:ind w:left="0" w:firstLine="0"/>
      </w:pPr>
      <w:rPr>
        <w:rFonts w:hint="default" w:ascii="Times New Roman" w:hAnsi="Times New Roman" w:eastAsia="黑体"/>
        <w:b/>
        <w:i w:val="0"/>
        <w:sz w:val="32"/>
      </w:rPr>
    </w:lvl>
    <w:lvl w:ilvl="1" w:tentative="0">
      <w:start w:val="1"/>
      <w:numFmt w:val="decimal"/>
      <w:pStyle w:val="3"/>
      <w:isLgl/>
      <w:suff w:val="space"/>
      <w:lvlText w:val="%1.%2"/>
      <w:lvlJc w:val="left"/>
      <w:pPr>
        <w:ind w:left="2127" w:firstLine="0"/>
      </w:pPr>
    </w:lvl>
    <w:lvl w:ilvl="2" w:tentative="0">
      <w:start w:val="1"/>
      <w:numFmt w:val="decimal"/>
      <w:pStyle w:val="4"/>
      <w:isLgl/>
      <w:suff w:val="space"/>
      <w:lvlText w:val="%1.%2.%3"/>
      <w:lvlJc w:val="left"/>
      <w:pPr>
        <w:ind w:left="0" w:firstLine="0"/>
      </w:pPr>
      <w:rPr>
        <w:rFonts w:hint="default" w:ascii="Times New Roman" w:hAnsi="Times New Roman" w:eastAsia="黑体"/>
        <w:b/>
        <w:i w:val="0"/>
        <w:sz w:val="24"/>
      </w:rPr>
    </w:lvl>
    <w:lvl w:ilvl="3" w:tentative="0">
      <w:start w:val="1"/>
      <w:numFmt w:val="decimal"/>
      <w:lvlText w:val="%1.%2.%3.%4"/>
      <w:lvlJc w:val="left"/>
      <w:pPr>
        <w:ind w:left="1984" w:hanging="708"/>
      </w:pPr>
      <w:rPr>
        <w:rFonts w:hint="eastAsia"/>
      </w:rPr>
    </w:lvl>
    <w:lvl w:ilvl="4" w:tentative="0">
      <w:start w:val="1"/>
      <w:numFmt w:val="decimal"/>
      <w:lvlRestart w:val="0"/>
      <w:pStyle w:val="51"/>
      <w:suff w:val="space"/>
      <w:lvlText w:val="Table %5:"/>
      <w:lvlJc w:val="left"/>
      <w:pPr>
        <w:ind w:left="0" w:firstLine="0"/>
      </w:pPr>
      <w:rPr>
        <w:rFonts w:hint="default" w:ascii="Times New Roman" w:hAnsi="Times New Roman" w:eastAsia="宋体"/>
        <w:color w:val="auto"/>
      </w:rPr>
    </w:lvl>
    <w:lvl w:ilvl="5" w:tentative="0">
      <w:start w:val="1"/>
      <w:numFmt w:val="decimal"/>
      <w:lvlRestart w:val="0"/>
      <w:pStyle w:val="50"/>
      <w:suff w:val="space"/>
      <w:lvlText w:val="Figure %6:"/>
      <w:lvlJc w:val="left"/>
      <w:pPr>
        <w:ind w:left="0" w:firstLine="0"/>
      </w:pPr>
      <w:rPr>
        <w:rFonts w:hint="eastAsia"/>
      </w:rPr>
    </w:lvl>
    <w:lvl w:ilvl="6" w:tentative="0">
      <w:start w:val="1"/>
      <w:numFmt w:val="decimal"/>
      <w:lvlRestart w:val="0"/>
      <w:pStyle w:val="53"/>
      <w:suff w:val="space"/>
      <w:lvlText w:val="[%7]"/>
      <w:lvlJc w:val="left"/>
      <w:pPr>
        <w:ind w:left="0" w:firstLine="0"/>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3">
    <w:nsid w:val="7DF61D35"/>
    <w:multiLevelType w:val="multilevel"/>
    <w:tmpl w:val="7DF61D35"/>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12"/>
  </w:num>
  <w:num w:numId="2">
    <w:abstractNumId w:val="3"/>
  </w:num>
  <w:num w:numId="3">
    <w:abstractNumId w:val="9"/>
  </w:num>
  <w:num w:numId="4">
    <w:abstractNumId w:val="11"/>
  </w:num>
  <w:num w:numId="5">
    <w:abstractNumId w:val="0"/>
  </w:num>
  <w:num w:numId="6">
    <w:abstractNumId w:val="5"/>
  </w:num>
  <w:num w:numId="7">
    <w:abstractNumId w:val="6"/>
  </w:num>
  <w:num w:numId="8">
    <w:abstractNumId w:val="7"/>
  </w:num>
  <w:num w:numId="9">
    <w:abstractNumId w:val="10"/>
  </w:num>
  <w:num w:numId="10">
    <w:abstractNumId w:val="4"/>
  </w:num>
  <w:num w:numId="11">
    <w:abstractNumId w:val="8"/>
  </w:num>
  <w:num w:numId="12">
    <w:abstractNumId w:val="2"/>
  </w:num>
  <w:num w:numId="13">
    <w:abstractNumId w:val="1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autoHyphenation/>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ZZ_MODIFIED_GEEBINF&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2zwrze72tww8ev2215dvxnew5ttp0wraw9&quot;&gt;数学建模&lt;record-ids&gt;&lt;item&gt;5&lt;/item&gt;&lt;/record-ids&gt;&lt;/item&gt;&lt;/Libraries&gt;"/>
  </w:docVars>
  <w:rsids>
    <w:rsidRoot w:val="00144B2A"/>
    <w:rsid w:val="00000350"/>
    <w:rsid w:val="00002860"/>
    <w:rsid w:val="000111F2"/>
    <w:rsid w:val="000122B1"/>
    <w:rsid w:val="000133BE"/>
    <w:rsid w:val="0001680F"/>
    <w:rsid w:val="00016C3E"/>
    <w:rsid w:val="00021826"/>
    <w:rsid w:val="0002366B"/>
    <w:rsid w:val="00024536"/>
    <w:rsid w:val="00032277"/>
    <w:rsid w:val="000331A6"/>
    <w:rsid w:val="00052860"/>
    <w:rsid w:val="00052F27"/>
    <w:rsid w:val="000539F4"/>
    <w:rsid w:val="000541D3"/>
    <w:rsid w:val="000542C8"/>
    <w:rsid w:val="00056C11"/>
    <w:rsid w:val="00060450"/>
    <w:rsid w:val="00060C36"/>
    <w:rsid w:val="00064A61"/>
    <w:rsid w:val="00067485"/>
    <w:rsid w:val="00073D05"/>
    <w:rsid w:val="0008029E"/>
    <w:rsid w:val="000815BE"/>
    <w:rsid w:val="000818DD"/>
    <w:rsid w:val="00087A05"/>
    <w:rsid w:val="00090D69"/>
    <w:rsid w:val="0009369F"/>
    <w:rsid w:val="00096263"/>
    <w:rsid w:val="000963C6"/>
    <w:rsid w:val="000A0BC5"/>
    <w:rsid w:val="000A1C75"/>
    <w:rsid w:val="000A282B"/>
    <w:rsid w:val="000A6A82"/>
    <w:rsid w:val="000B11C1"/>
    <w:rsid w:val="000B3125"/>
    <w:rsid w:val="000B78CB"/>
    <w:rsid w:val="000C3A1C"/>
    <w:rsid w:val="000C419F"/>
    <w:rsid w:val="000C4A2D"/>
    <w:rsid w:val="000C6D08"/>
    <w:rsid w:val="000C791E"/>
    <w:rsid w:val="000D2E4E"/>
    <w:rsid w:val="000D3815"/>
    <w:rsid w:val="000D5551"/>
    <w:rsid w:val="000E0194"/>
    <w:rsid w:val="000E03AA"/>
    <w:rsid w:val="000E0B0B"/>
    <w:rsid w:val="000E584B"/>
    <w:rsid w:val="000F36D2"/>
    <w:rsid w:val="000F3BD7"/>
    <w:rsid w:val="000F7256"/>
    <w:rsid w:val="001005B0"/>
    <w:rsid w:val="001031A1"/>
    <w:rsid w:val="00104825"/>
    <w:rsid w:val="001106B0"/>
    <w:rsid w:val="0011218D"/>
    <w:rsid w:val="00112686"/>
    <w:rsid w:val="00124289"/>
    <w:rsid w:val="001260FC"/>
    <w:rsid w:val="00134651"/>
    <w:rsid w:val="001374D3"/>
    <w:rsid w:val="00144B2A"/>
    <w:rsid w:val="001535FA"/>
    <w:rsid w:val="00161DA2"/>
    <w:rsid w:val="00164343"/>
    <w:rsid w:val="0016537C"/>
    <w:rsid w:val="00171A48"/>
    <w:rsid w:val="00172B82"/>
    <w:rsid w:val="0017368D"/>
    <w:rsid w:val="00177706"/>
    <w:rsid w:val="001873C2"/>
    <w:rsid w:val="00190A85"/>
    <w:rsid w:val="001939A1"/>
    <w:rsid w:val="00193C17"/>
    <w:rsid w:val="00194F48"/>
    <w:rsid w:val="0019771A"/>
    <w:rsid w:val="001A1D41"/>
    <w:rsid w:val="001A2F74"/>
    <w:rsid w:val="001A35B1"/>
    <w:rsid w:val="001A5FBA"/>
    <w:rsid w:val="001C239C"/>
    <w:rsid w:val="001C6112"/>
    <w:rsid w:val="001C7D65"/>
    <w:rsid w:val="001D6117"/>
    <w:rsid w:val="001D710F"/>
    <w:rsid w:val="001E1F3D"/>
    <w:rsid w:val="001E2F96"/>
    <w:rsid w:val="001E5CB2"/>
    <w:rsid w:val="001F0BFD"/>
    <w:rsid w:val="001F3C75"/>
    <w:rsid w:val="001F4496"/>
    <w:rsid w:val="001F555E"/>
    <w:rsid w:val="001F5BFC"/>
    <w:rsid w:val="002071DD"/>
    <w:rsid w:val="00217314"/>
    <w:rsid w:val="00222A3C"/>
    <w:rsid w:val="0022322A"/>
    <w:rsid w:val="00225389"/>
    <w:rsid w:val="0022698C"/>
    <w:rsid w:val="00226B92"/>
    <w:rsid w:val="002308CF"/>
    <w:rsid w:val="002319B3"/>
    <w:rsid w:val="0023359C"/>
    <w:rsid w:val="00236AE3"/>
    <w:rsid w:val="00236C1A"/>
    <w:rsid w:val="00243C74"/>
    <w:rsid w:val="00246C3E"/>
    <w:rsid w:val="00250F22"/>
    <w:rsid w:val="00254993"/>
    <w:rsid w:val="00255111"/>
    <w:rsid w:val="00267BBE"/>
    <w:rsid w:val="002767C5"/>
    <w:rsid w:val="00280EF9"/>
    <w:rsid w:val="002828E5"/>
    <w:rsid w:val="00282EAD"/>
    <w:rsid w:val="00283597"/>
    <w:rsid w:val="00284E6F"/>
    <w:rsid w:val="002853E7"/>
    <w:rsid w:val="00297447"/>
    <w:rsid w:val="002A3A8A"/>
    <w:rsid w:val="002A664F"/>
    <w:rsid w:val="002A6896"/>
    <w:rsid w:val="002B5597"/>
    <w:rsid w:val="002C00E4"/>
    <w:rsid w:val="002C23D9"/>
    <w:rsid w:val="002C7F4D"/>
    <w:rsid w:val="002D209F"/>
    <w:rsid w:val="002D467B"/>
    <w:rsid w:val="002D5ED2"/>
    <w:rsid w:val="002E2E98"/>
    <w:rsid w:val="002E5CA3"/>
    <w:rsid w:val="002E75F2"/>
    <w:rsid w:val="002F4489"/>
    <w:rsid w:val="00300EB9"/>
    <w:rsid w:val="003017C7"/>
    <w:rsid w:val="0030287E"/>
    <w:rsid w:val="00307689"/>
    <w:rsid w:val="003119B7"/>
    <w:rsid w:val="00315A88"/>
    <w:rsid w:val="0031727C"/>
    <w:rsid w:val="00320643"/>
    <w:rsid w:val="00320BF2"/>
    <w:rsid w:val="003215B6"/>
    <w:rsid w:val="003410E0"/>
    <w:rsid w:val="00341F3B"/>
    <w:rsid w:val="00343AFD"/>
    <w:rsid w:val="00343DF4"/>
    <w:rsid w:val="00346593"/>
    <w:rsid w:val="00351507"/>
    <w:rsid w:val="00353AE8"/>
    <w:rsid w:val="00354CD0"/>
    <w:rsid w:val="0036073D"/>
    <w:rsid w:val="00362474"/>
    <w:rsid w:val="00371210"/>
    <w:rsid w:val="00371D7E"/>
    <w:rsid w:val="00373162"/>
    <w:rsid w:val="00375AE0"/>
    <w:rsid w:val="00377EC8"/>
    <w:rsid w:val="00384EE0"/>
    <w:rsid w:val="00385DD8"/>
    <w:rsid w:val="003912A3"/>
    <w:rsid w:val="00393334"/>
    <w:rsid w:val="0039499D"/>
    <w:rsid w:val="003A1B25"/>
    <w:rsid w:val="003A2C5A"/>
    <w:rsid w:val="003A4D87"/>
    <w:rsid w:val="003A7A44"/>
    <w:rsid w:val="003B205C"/>
    <w:rsid w:val="003B7C68"/>
    <w:rsid w:val="003C5C0D"/>
    <w:rsid w:val="003D4B25"/>
    <w:rsid w:val="003D6286"/>
    <w:rsid w:val="003E348E"/>
    <w:rsid w:val="003E3672"/>
    <w:rsid w:val="003E4D22"/>
    <w:rsid w:val="003E5411"/>
    <w:rsid w:val="003E7DB0"/>
    <w:rsid w:val="003F3811"/>
    <w:rsid w:val="00400871"/>
    <w:rsid w:val="004013C2"/>
    <w:rsid w:val="0040166F"/>
    <w:rsid w:val="00407A45"/>
    <w:rsid w:val="00410806"/>
    <w:rsid w:val="004174F1"/>
    <w:rsid w:val="0042064A"/>
    <w:rsid w:val="00421553"/>
    <w:rsid w:val="00421AA3"/>
    <w:rsid w:val="00421E5A"/>
    <w:rsid w:val="0042275D"/>
    <w:rsid w:val="004228B3"/>
    <w:rsid w:val="0042468F"/>
    <w:rsid w:val="004318F9"/>
    <w:rsid w:val="00435F53"/>
    <w:rsid w:val="00436E2E"/>
    <w:rsid w:val="004437CA"/>
    <w:rsid w:val="00443B9A"/>
    <w:rsid w:val="00454A12"/>
    <w:rsid w:val="00466613"/>
    <w:rsid w:val="00475009"/>
    <w:rsid w:val="004754AE"/>
    <w:rsid w:val="00476829"/>
    <w:rsid w:val="0047774F"/>
    <w:rsid w:val="00484FCB"/>
    <w:rsid w:val="004873A8"/>
    <w:rsid w:val="0049055B"/>
    <w:rsid w:val="00493882"/>
    <w:rsid w:val="004939E7"/>
    <w:rsid w:val="004A026C"/>
    <w:rsid w:val="004A1340"/>
    <w:rsid w:val="004A2B88"/>
    <w:rsid w:val="004A5FEA"/>
    <w:rsid w:val="004B2EE5"/>
    <w:rsid w:val="004B7086"/>
    <w:rsid w:val="004C032D"/>
    <w:rsid w:val="004C26BA"/>
    <w:rsid w:val="004D049A"/>
    <w:rsid w:val="004E0603"/>
    <w:rsid w:val="004E3880"/>
    <w:rsid w:val="004E3ED6"/>
    <w:rsid w:val="004E4ED9"/>
    <w:rsid w:val="004E5838"/>
    <w:rsid w:val="004E6053"/>
    <w:rsid w:val="004F1E75"/>
    <w:rsid w:val="004F4A07"/>
    <w:rsid w:val="004F78D5"/>
    <w:rsid w:val="00500DD9"/>
    <w:rsid w:val="005025E0"/>
    <w:rsid w:val="00504110"/>
    <w:rsid w:val="005155C3"/>
    <w:rsid w:val="0051597F"/>
    <w:rsid w:val="005175CE"/>
    <w:rsid w:val="00520A41"/>
    <w:rsid w:val="00521201"/>
    <w:rsid w:val="00526D5B"/>
    <w:rsid w:val="00527006"/>
    <w:rsid w:val="00527988"/>
    <w:rsid w:val="005300D7"/>
    <w:rsid w:val="00540061"/>
    <w:rsid w:val="0054251C"/>
    <w:rsid w:val="005520C5"/>
    <w:rsid w:val="00552E87"/>
    <w:rsid w:val="00554DE3"/>
    <w:rsid w:val="00561BA9"/>
    <w:rsid w:val="00565828"/>
    <w:rsid w:val="00566515"/>
    <w:rsid w:val="005673E5"/>
    <w:rsid w:val="00572552"/>
    <w:rsid w:val="00573625"/>
    <w:rsid w:val="00574283"/>
    <w:rsid w:val="00574AC2"/>
    <w:rsid w:val="00575FCC"/>
    <w:rsid w:val="005851C7"/>
    <w:rsid w:val="0059021B"/>
    <w:rsid w:val="00596BDC"/>
    <w:rsid w:val="005A1BD7"/>
    <w:rsid w:val="005A2F9C"/>
    <w:rsid w:val="005A50CC"/>
    <w:rsid w:val="005A515F"/>
    <w:rsid w:val="005A670E"/>
    <w:rsid w:val="005A759B"/>
    <w:rsid w:val="005A7989"/>
    <w:rsid w:val="005B134D"/>
    <w:rsid w:val="005B1AD6"/>
    <w:rsid w:val="005B1CB0"/>
    <w:rsid w:val="005B2174"/>
    <w:rsid w:val="005B7037"/>
    <w:rsid w:val="005C2F56"/>
    <w:rsid w:val="005C3327"/>
    <w:rsid w:val="005C4E2D"/>
    <w:rsid w:val="005D1A5F"/>
    <w:rsid w:val="005D246B"/>
    <w:rsid w:val="005D7036"/>
    <w:rsid w:val="005E45E8"/>
    <w:rsid w:val="005E7455"/>
    <w:rsid w:val="005E79E1"/>
    <w:rsid w:val="005F5D59"/>
    <w:rsid w:val="005F5E5C"/>
    <w:rsid w:val="00601733"/>
    <w:rsid w:val="0060660A"/>
    <w:rsid w:val="00611020"/>
    <w:rsid w:val="00627F83"/>
    <w:rsid w:val="00637D23"/>
    <w:rsid w:val="00652BE5"/>
    <w:rsid w:val="0065334D"/>
    <w:rsid w:val="006569DB"/>
    <w:rsid w:val="00665939"/>
    <w:rsid w:val="006661D2"/>
    <w:rsid w:val="006676FB"/>
    <w:rsid w:val="00667CCF"/>
    <w:rsid w:val="0067031B"/>
    <w:rsid w:val="006744CD"/>
    <w:rsid w:val="0067532E"/>
    <w:rsid w:val="00682D37"/>
    <w:rsid w:val="006A3034"/>
    <w:rsid w:val="006A78E0"/>
    <w:rsid w:val="006B17A0"/>
    <w:rsid w:val="006B7A1B"/>
    <w:rsid w:val="006C057D"/>
    <w:rsid w:val="006C05C1"/>
    <w:rsid w:val="006C1F97"/>
    <w:rsid w:val="006C5041"/>
    <w:rsid w:val="006D4342"/>
    <w:rsid w:val="006E188A"/>
    <w:rsid w:val="006E78E6"/>
    <w:rsid w:val="006F19EA"/>
    <w:rsid w:val="006F3BF2"/>
    <w:rsid w:val="006F4F98"/>
    <w:rsid w:val="006F7E67"/>
    <w:rsid w:val="007011E9"/>
    <w:rsid w:val="0070392C"/>
    <w:rsid w:val="00710749"/>
    <w:rsid w:val="007149D1"/>
    <w:rsid w:val="00731A6C"/>
    <w:rsid w:val="00733391"/>
    <w:rsid w:val="007339DC"/>
    <w:rsid w:val="00733BEA"/>
    <w:rsid w:val="00733D66"/>
    <w:rsid w:val="00735B43"/>
    <w:rsid w:val="007451B0"/>
    <w:rsid w:val="00746792"/>
    <w:rsid w:val="007514C2"/>
    <w:rsid w:val="0075578F"/>
    <w:rsid w:val="00757F9A"/>
    <w:rsid w:val="00764C37"/>
    <w:rsid w:val="00766BC3"/>
    <w:rsid w:val="00774D1E"/>
    <w:rsid w:val="0077684D"/>
    <w:rsid w:val="007772F6"/>
    <w:rsid w:val="00781409"/>
    <w:rsid w:val="00784204"/>
    <w:rsid w:val="0078512E"/>
    <w:rsid w:val="00785F59"/>
    <w:rsid w:val="00792592"/>
    <w:rsid w:val="007A1B54"/>
    <w:rsid w:val="007A1E1C"/>
    <w:rsid w:val="007A4988"/>
    <w:rsid w:val="007A5F7F"/>
    <w:rsid w:val="007B2673"/>
    <w:rsid w:val="007B2B10"/>
    <w:rsid w:val="007B2C6C"/>
    <w:rsid w:val="007B3133"/>
    <w:rsid w:val="007B774C"/>
    <w:rsid w:val="007B7888"/>
    <w:rsid w:val="007D0411"/>
    <w:rsid w:val="007D0DE0"/>
    <w:rsid w:val="007D238F"/>
    <w:rsid w:val="007D2AC5"/>
    <w:rsid w:val="007D2CD0"/>
    <w:rsid w:val="007D57BE"/>
    <w:rsid w:val="007D6D16"/>
    <w:rsid w:val="007E0EC5"/>
    <w:rsid w:val="007E261A"/>
    <w:rsid w:val="007E40F5"/>
    <w:rsid w:val="007E45E0"/>
    <w:rsid w:val="007E5CF8"/>
    <w:rsid w:val="00800696"/>
    <w:rsid w:val="00802FC3"/>
    <w:rsid w:val="00803316"/>
    <w:rsid w:val="008056AE"/>
    <w:rsid w:val="00806F91"/>
    <w:rsid w:val="0080735A"/>
    <w:rsid w:val="0081063F"/>
    <w:rsid w:val="00812AC9"/>
    <w:rsid w:val="00821A25"/>
    <w:rsid w:val="00821FFD"/>
    <w:rsid w:val="00822022"/>
    <w:rsid w:val="00822932"/>
    <w:rsid w:val="008245E0"/>
    <w:rsid w:val="00840028"/>
    <w:rsid w:val="00840156"/>
    <w:rsid w:val="00843CBC"/>
    <w:rsid w:val="00844348"/>
    <w:rsid w:val="00846D58"/>
    <w:rsid w:val="0085031C"/>
    <w:rsid w:val="00852250"/>
    <w:rsid w:val="00852DFF"/>
    <w:rsid w:val="00852F71"/>
    <w:rsid w:val="00856323"/>
    <w:rsid w:val="00857079"/>
    <w:rsid w:val="00857C9A"/>
    <w:rsid w:val="0086230C"/>
    <w:rsid w:val="0087095B"/>
    <w:rsid w:val="0087288B"/>
    <w:rsid w:val="00880856"/>
    <w:rsid w:val="008862E6"/>
    <w:rsid w:val="008903AF"/>
    <w:rsid w:val="008917C2"/>
    <w:rsid w:val="00894C25"/>
    <w:rsid w:val="008A1A24"/>
    <w:rsid w:val="008A2FF0"/>
    <w:rsid w:val="008A5CFC"/>
    <w:rsid w:val="008A7A52"/>
    <w:rsid w:val="008B01C5"/>
    <w:rsid w:val="008B4D1A"/>
    <w:rsid w:val="008B6CEE"/>
    <w:rsid w:val="008D7A98"/>
    <w:rsid w:val="008E26AD"/>
    <w:rsid w:val="008E4798"/>
    <w:rsid w:val="008F1324"/>
    <w:rsid w:val="008F53D8"/>
    <w:rsid w:val="008F7213"/>
    <w:rsid w:val="008F7347"/>
    <w:rsid w:val="00902C18"/>
    <w:rsid w:val="0090515A"/>
    <w:rsid w:val="00905487"/>
    <w:rsid w:val="00912224"/>
    <w:rsid w:val="009124BB"/>
    <w:rsid w:val="00917BFD"/>
    <w:rsid w:val="0092085B"/>
    <w:rsid w:val="00921EEF"/>
    <w:rsid w:val="00927099"/>
    <w:rsid w:val="0093239C"/>
    <w:rsid w:val="0093758B"/>
    <w:rsid w:val="00937AAB"/>
    <w:rsid w:val="00947C6E"/>
    <w:rsid w:val="009546CC"/>
    <w:rsid w:val="009573D7"/>
    <w:rsid w:val="0096636C"/>
    <w:rsid w:val="009827DD"/>
    <w:rsid w:val="0098287C"/>
    <w:rsid w:val="00985F7C"/>
    <w:rsid w:val="00995D91"/>
    <w:rsid w:val="00997848"/>
    <w:rsid w:val="009B3399"/>
    <w:rsid w:val="009B443A"/>
    <w:rsid w:val="009B46BC"/>
    <w:rsid w:val="009B4F7D"/>
    <w:rsid w:val="009B6062"/>
    <w:rsid w:val="009B643B"/>
    <w:rsid w:val="009B6845"/>
    <w:rsid w:val="009B7B8C"/>
    <w:rsid w:val="009C0305"/>
    <w:rsid w:val="009C12E7"/>
    <w:rsid w:val="009D19BB"/>
    <w:rsid w:val="009D5813"/>
    <w:rsid w:val="009D6F97"/>
    <w:rsid w:val="009E351D"/>
    <w:rsid w:val="009E6AE9"/>
    <w:rsid w:val="009E70B3"/>
    <w:rsid w:val="009F01C3"/>
    <w:rsid w:val="009F1CFF"/>
    <w:rsid w:val="009F2154"/>
    <w:rsid w:val="009F3A33"/>
    <w:rsid w:val="00A01CB8"/>
    <w:rsid w:val="00A06728"/>
    <w:rsid w:val="00A10DAA"/>
    <w:rsid w:val="00A11EC7"/>
    <w:rsid w:val="00A16C66"/>
    <w:rsid w:val="00A17310"/>
    <w:rsid w:val="00A2102B"/>
    <w:rsid w:val="00A214FF"/>
    <w:rsid w:val="00A21DF0"/>
    <w:rsid w:val="00A249FA"/>
    <w:rsid w:val="00A26844"/>
    <w:rsid w:val="00A323C8"/>
    <w:rsid w:val="00A347BA"/>
    <w:rsid w:val="00A41D3C"/>
    <w:rsid w:val="00A422BF"/>
    <w:rsid w:val="00A439F9"/>
    <w:rsid w:val="00A4777F"/>
    <w:rsid w:val="00A5114D"/>
    <w:rsid w:val="00A57609"/>
    <w:rsid w:val="00A62035"/>
    <w:rsid w:val="00A67A01"/>
    <w:rsid w:val="00A72800"/>
    <w:rsid w:val="00A83EC9"/>
    <w:rsid w:val="00A93312"/>
    <w:rsid w:val="00A948E2"/>
    <w:rsid w:val="00AA01D7"/>
    <w:rsid w:val="00AA327C"/>
    <w:rsid w:val="00AA36CD"/>
    <w:rsid w:val="00AA536A"/>
    <w:rsid w:val="00AB2521"/>
    <w:rsid w:val="00AB6D81"/>
    <w:rsid w:val="00AC0C64"/>
    <w:rsid w:val="00AC654C"/>
    <w:rsid w:val="00AC6819"/>
    <w:rsid w:val="00AD0FB4"/>
    <w:rsid w:val="00AD22A6"/>
    <w:rsid w:val="00AD735E"/>
    <w:rsid w:val="00AE0D12"/>
    <w:rsid w:val="00AE33B8"/>
    <w:rsid w:val="00AE3D6A"/>
    <w:rsid w:val="00AF015C"/>
    <w:rsid w:val="00B00613"/>
    <w:rsid w:val="00B054FA"/>
    <w:rsid w:val="00B0587B"/>
    <w:rsid w:val="00B13EF5"/>
    <w:rsid w:val="00B1557C"/>
    <w:rsid w:val="00B15F1D"/>
    <w:rsid w:val="00B242DE"/>
    <w:rsid w:val="00B30E93"/>
    <w:rsid w:val="00B322D6"/>
    <w:rsid w:val="00B35F5F"/>
    <w:rsid w:val="00B44C8B"/>
    <w:rsid w:val="00B47313"/>
    <w:rsid w:val="00B47658"/>
    <w:rsid w:val="00B5782C"/>
    <w:rsid w:val="00B63628"/>
    <w:rsid w:val="00B64702"/>
    <w:rsid w:val="00B70E3D"/>
    <w:rsid w:val="00B730C3"/>
    <w:rsid w:val="00B734B3"/>
    <w:rsid w:val="00B8367D"/>
    <w:rsid w:val="00B9313C"/>
    <w:rsid w:val="00B9340C"/>
    <w:rsid w:val="00B9341E"/>
    <w:rsid w:val="00B96933"/>
    <w:rsid w:val="00BA1139"/>
    <w:rsid w:val="00BA6005"/>
    <w:rsid w:val="00BB171B"/>
    <w:rsid w:val="00BB222D"/>
    <w:rsid w:val="00BB46D3"/>
    <w:rsid w:val="00BD32C9"/>
    <w:rsid w:val="00BD4D76"/>
    <w:rsid w:val="00BD59DD"/>
    <w:rsid w:val="00BE0207"/>
    <w:rsid w:val="00BE0BA8"/>
    <w:rsid w:val="00BE32DF"/>
    <w:rsid w:val="00BE4A2D"/>
    <w:rsid w:val="00BF1DDE"/>
    <w:rsid w:val="00BF4730"/>
    <w:rsid w:val="00C01A5B"/>
    <w:rsid w:val="00C0216B"/>
    <w:rsid w:val="00C055B7"/>
    <w:rsid w:val="00C055C6"/>
    <w:rsid w:val="00C062B2"/>
    <w:rsid w:val="00C120E6"/>
    <w:rsid w:val="00C13BD5"/>
    <w:rsid w:val="00C14AB5"/>
    <w:rsid w:val="00C16AAF"/>
    <w:rsid w:val="00C243A6"/>
    <w:rsid w:val="00C25199"/>
    <w:rsid w:val="00C2612D"/>
    <w:rsid w:val="00C309B9"/>
    <w:rsid w:val="00C31742"/>
    <w:rsid w:val="00C32A26"/>
    <w:rsid w:val="00C344BE"/>
    <w:rsid w:val="00C34FCA"/>
    <w:rsid w:val="00C3760F"/>
    <w:rsid w:val="00C41648"/>
    <w:rsid w:val="00C421E4"/>
    <w:rsid w:val="00C450F3"/>
    <w:rsid w:val="00C5253F"/>
    <w:rsid w:val="00C611FF"/>
    <w:rsid w:val="00C62257"/>
    <w:rsid w:val="00C642CD"/>
    <w:rsid w:val="00C644C9"/>
    <w:rsid w:val="00C65415"/>
    <w:rsid w:val="00C7192F"/>
    <w:rsid w:val="00C80518"/>
    <w:rsid w:val="00C83BAF"/>
    <w:rsid w:val="00C85B98"/>
    <w:rsid w:val="00C87886"/>
    <w:rsid w:val="00C8788B"/>
    <w:rsid w:val="00C90E60"/>
    <w:rsid w:val="00C91330"/>
    <w:rsid w:val="00C94810"/>
    <w:rsid w:val="00C96033"/>
    <w:rsid w:val="00C97DB7"/>
    <w:rsid w:val="00CA2C8B"/>
    <w:rsid w:val="00CA6DEC"/>
    <w:rsid w:val="00CB1FA0"/>
    <w:rsid w:val="00CB29DE"/>
    <w:rsid w:val="00CB377F"/>
    <w:rsid w:val="00CB3BBE"/>
    <w:rsid w:val="00CB5E86"/>
    <w:rsid w:val="00CB7758"/>
    <w:rsid w:val="00CC0822"/>
    <w:rsid w:val="00CC0AD5"/>
    <w:rsid w:val="00CC2998"/>
    <w:rsid w:val="00CC48FB"/>
    <w:rsid w:val="00CC4B30"/>
    <w:rsid w:val="00CC7E28"/>
    <w:rsid w:val="00CD17F6"/>
    <w:rsid w:val="00CD3354"/>
    <w:rsid w:val="00CD79B1"/>
    <w:rsid w:val="00CE0E32"/>
    <w:rsid w:val="00CE6D9D"/>
    <w:rsid w:val="00CF3D82"/>
    <w:rsid w:val="00CF46D4"/>
    <w:rsid w:val="00CF5967"/>
    <w:rsid w:val="00CF6EE7"/>
    <w:rsid w:val="00CF73CB"/>
    <w:rsid w:val="00CF7556"/>
    <w:rsid w:val="00D0304F"/>
    <w:rsid w:val="00D04A0A"/>
    <w:rsid w:val="00D07C71"/>
    <w:rsid w:val="00D07CA3"/>
    <w:rsid w:val="00D12186"/>
    <w:rsid w:val="00D132AA"/>
    <w:rsid w:val="00D13350"/>
    <w:rsid w:val="00D13ABF"/>
    <w:rsid w:val="00D14D4E"/>
    <w:rsid w:val="00D179A9"/>
    <w:rsid w:val="00D21921"/>
    <w:rsid w:val="00D25ACD"/>
    <w:rsid w:val="00D26DE1"/>
    <w:rsid w:val="00D30A48"/>
    <w:rsid w:val="00D30C2F"/>
    <w:rsid w:val="00D30EAE"/>
    <w:rsid w:val="00D33CB0"/>
    <w:rsid w:val="00D352B7"/>
    <w:rsid w:val="00D40BCA"/>
    <w:rsid w:val="00D40FD6"/>
    <w:rsid w:val="00D43039"/>
    <w:rsid w:val="00D47468"/>
    <w:rsid w:val="00D505F5"/>
    <w:rsid w:val="00D54EC7"/>
    <w:rsid w:val="00D6421C"/>
    <w:rsid w:val="00D73511"/>
    <w:rsid w:val="00D735E3"/>
    <w:rsid w:val="00D766E3"/>
    <w:rsid w:val="00D77D75"/>
    <w:rsid w:val="00D808E5"/>
    <w:rsid w:val="00D829B4"/>
    <w:rsid w:val="00D835E7"/>
    <w:rsid w:val="00D83610"/>
    <w:rsid w:val="00D85505"/>
    <w:rsid w:val="00D925D7"/>
    <w:rsid w:val="00D93BC5"/>
    <w:rsid w:val="00D97EE3"/>
    <w:rsid w:val="00DA2AEF"/>
    <w:rsid w:val="00DA4D95"/>
    <w:rsid w:val="00DA5145"/>
    <w:rsid w:val="00DB243F"/>
    <w:rsid w:val="00DB5DFA"/>
    <w:rsid w:val="00DB6E28"/>
    <w:rsid w:val="00DC0D48"/>
    <w:rsid w:val="00DC1ACE"/>
    <w:rsid w:val="00DC2413"/>
    <w:rsid w:val="00DD0B07"/>
    <w:rsid w:val="00DD42AE"/>
    <w:rsid w:val="00DE324C"/>
    <w:rsid w:val="00DF16D7"/>
    <w:rsid w:val="00DF299E"/>
    <w:rsid w:val="00DF2DC0"/>
    <w:rsid w:val="00E04204"/>
    <w:rsid w:val="00E057D0"/>
    <w:rsid w:val="00E07A28"/>
    <w:rsid w:val="00E13381"/>
    <w:rsid w:val="00E16790"/>
    <w:rsid w:val="00E1752D"/>
    <w:rsid w:val="00E20055"/>
    <w:rsid w:val="00E227C5"/>
    <w:rsid w:val="00E23C93"/>
    <w:rsid w:val="00E26A2F"/>
    <w:rsid w:val="00E2785D"/>
    <w:rsid w:val="00E324F8"/>
    <w:rsid w:val="00E336B3"/>
    <w:rsid w:val="00E34E0F"/>
    <w:rsid w:val="00E40264"/>
    <w:rsid w:val="00E42352"/>
    <w:rsid w:val="00E43386"/>
    <w:rsid w:val="00E444AA"/>
    <w:rsid w:val="00E44BA4"/>
    <w:rsid w:val="00E46023"/>
    <w:rsid w:val="00E46B1C"/>
    <w:rsid w:val="00E60722"/>
    <w:rsid w:val="00E60E45"/>
    <w:rsid w:val="00E647FE"/>
    <w:rsid w:val="00E679D6"/>
    <w:rsid w:val="00E73E33"/>
    <w:rsid w:val="00E821AC"/>
    <w:rsid w:val="00E860BF"/>
    <w:rsid w:val="00E924AE"/>
    <w:rsid w:val="00E924B3"/>
    <w:rsid w:val="00E97B25"/>
    <w:rsid w:val="00EA0E41"/>
    <w:rsid w:val="00EA1041"/>
    <w:rsid w:val="00EA1C53"/>
    <w:rsid w:val="00EA1CE6"/>
    <w:rsid w:val="00EA6245"/>
    <w:rsid w:val="00EB244D"/>
    <w:rsid w:val="00EB67DD"/>
    <w:rsid w:val="00EC1596"/>
    <w:rsid w:val="00EC25E6"/>
    <w:rsid w:val="00ED19E2"/>
    <w:rsid w:val="00ED388B"/>
    <w:rsid w:val="00ED668A"/>
    <w:rsid w:val="00EE2107"/>
    <w:rsid w:val="00EE38DE"/>
    <w:rsid w:val="00EF1CA6"/>
    <w:rsid w:val="00EF2946"/>
    <w:rsid w:val="00EF38AB"/>
    <w:rsid w:val="00EF4699"/>
    <w:rsid w:val="00EF5269"/>
    <w:rsid w:val="00EF61DD"/>
    <w:rsid w:val="00F00BFD"/>
    <w:rsid w:val="00F017D8"/>
    <w:rsid w:val="00F03383"/>
    <w:rsid w:val="00F03784"/>
    <w:rsid w:val="00F03B2B"/>
    <w:rsid w:val="00F10B49"/>
    <w:rsid w:val="00F114B1"/>
    <w:rsid w:val="00F15082"/>
    <w:rsid w:val="00F1666C"/>
    <w:rsid w:val="00F174EF"/>
    <w:rsid w:val="00F17D3C"/>
    <w:rsid w:val="00F21999"/>
    <w:rsid w:val="00F21E25"/>
    <w:rsid w:val="00F26C4B"/>
    <w:rsid w:val="00F276A2"/>
    <w:rsid w:val="00F32380"/>
    <w:rsid w:val="00F329F7"/>
    <w:rsid w:val="00F50A6C"/>
    <w:rsid w:val="00F524DA"/>
    <w:rsid w:val="00F52923"/>
    <w:rsid w:val="00F54932"/>
    <w:rsid w:val="00F57EEB"/>
    <w:rsid w:val="00F6463C"/>
    <w:rsid w:val="00F7532F"/>
    <w:rsid w:val="00F77D1D"/>
    <w:rsid w:val="00F83465"/>
    <w:rsid w:val="00F85613"/>
    <w:rsid w:val="00F90DF0"/>
    <w:rsid w:val="00F91D20"/>
    <w:rsid w:val="00F9561D"/>
    <w:rsid w:val="00FA1A84"/>
    <w:rsid w:val="00FA2AA2"/>
    <w:rsid w:val="00FA4E2D"/>
    <w:rsid w:val="00FB1237"/>
    <w:rsid w:val="00FB417A"/>
    <w:rsid w:val="00FB4312"/>
    <w:rsid w:val="00FB6179"/>
    <w:rsid w:val="00FB7BFE"/>
    <w:rsid w:val="00FD27B9"/>
    <w:rsid w:val="00FD31EB"/>
    <w:rsid w:val="00FD3CFA"/>
    <w:rsid w:val="00FE09E9"/>
    <w:rsid w:val="00FE13FD"/>
    <w:rsid w:val="00FE2F45"/>
    <w:rsid w:val="00FE6C3E"/>
    <w:rsid w:val="00FF19BF"/>
    <w:rsid w:val="00FF5D5F"/>
    <w:rsid w:val="078C6D59"/>
    <w:rsid w:val="1540321A"/>
    <w:rsid w:val="2AC91FF0"/>
    <w:rsid w:val="2F3E1DAE"/>
    <w:rsid w:val="331D35FA"/>
    <w:rsid w:val="3E5A3941"/>
    <w:rsid w:val="4D741C4E"/>
    <w:rsid w:val="50CB7BC1"/>
    <w:rsid w:val="6DE035C6"/>
    <w:rsid w:val="7F1412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heme="minorBidi"/>
      <w:kern w:val="2"/>
      <w:sz w:val="24"/>
      <w:szCs w:val="21"/>
      <w:lang w:val="en-US" w:eastAsia="zh-CN" w:bidi="ar-SA"/>
    </w:rPr>
  </w:style>
  <w:style w:type="paragraph" w:styleId="2">
    <w:name w:val="heading 1"/>
    <w:basedOn w:val="1"/>
    <w:next w:val="1"/>
    <w:link w:val="26"/>
    <w:qFormat/>
    <w:uiPriority w:val="9"/>
    <w:pPr>
      <w:keepNext/>
      <w:keepLines/>
      <w:numPr>
        <w:ilvl w:val="0"/>
        <w:numId w:val="1"/>
      </w:numPr>
      <w:spacing w:before="120" w:after="120"/>
      <w:ind w:firstLineChars="0"/>
      <w:jc w:val="left"/>
      <w:outlineLvl w:val="0"/>
    </w:pPr>
    <w:rPr>
      <w:rFonts w:eastAsia="黑体"/>
      <w:b/>
      <w:bCs/>
      <w:kern w:val="44"/>
      <w:sz w:val="32"/>
      <w:szCs w:val="44"/>
    </w:rPr>
  </w:style>
  <w:style w:type="paragraph" w:styleId="3">
    <w:name w:val="heading 2"/>
    <w:basedOn w:val="1"/>
    <w:next w:val="1"/>
    <w:link w:val="27"/>
    <w:unhideWhenUsed/>
    <w:qFormat/>
    <w:uiPriority w:val="9"/>
    <w:pPr>
      <w:keepNext/>
      <w:keepLines/>
      <w:numPr>
        <w:ilvl w:val="1"/>
        <w:numId w:val="1"/>
      </w:numPr>
      <w:spacing w:after="50" w:afterLines="50"/>
      <w:ind w:left="0" w:firstLineChars="0"/>
      <w:jc w:val="left"/>
      <w:outlineLvl w:val="1"/>
    </w:pPr>
    <w:rPr>
      <w:rFonts w:eastAsia="黑体" w:cstheme="majorBidi"/>
      <w:b/>
      <w:bCs/>
      <w:sz w:val="28"/>
      <w:szCs w:val="32"/>
    </w:rPr>
  </w:style>
  <w:style w:type="paragraph" w:styleId="4">
    <w:name w:val="heading 3"/>
    <w:basedOn w:val="1"/>
    <w:next w:val="1"/>
    <w:link w:val="28"/>
    <w:unhideWhenUsed/>
    <w:qFormat/>
    <w:uiPriority w:val="9"/>
    <w:pPr>
      <w:keepNext/>
      <w:keepLines/>
      <w:numPr>
        <w:ilvl w:val="2"/>
        <w:numId w:val="1"/>
      </w:numPr>
      <w:ind w:firstLineChars="0"/>
      <w:jc w:val="left"/>
      <w:outlineLvl w:val="2"/>
    </w:pPr>
    <w:rPr>
      <w:rFonts w:eastAsia="黑体"/>
      <w:b/>
      <w:bCs/>
      <w:szCs w:val="32"/>
    </w:rPr>
  </w:style>
  <w:style w:type="paragraph" w:styleId="5">
    <w:name w:val="heading 4"/>
    <w:basedOn w:val="1"/>
    <w:next w:val="1"/>
    <w:link w:val="5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2">
    <w:name w:val="Default Paragraph Font"/>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ind w:left="1440"/>
      <w:jc w:val="left"/>
    </w:pPr>
    <w:rPr>
      <w:rFonts w:asciiTheme="minorHAnsi" w:eastAsiaTheme="minorHAnsi"/>
      <w:sz w:val="20"/>
      <w:szCs w:val="20"/>
    </w:rPr>
  </w:style>
  <w:style w:type="paragraph" w:styleId="7">
    <w:name w:val="toc 5"/>
    <w:basedOn w:val="1"/>
    <w:next w:val="1"/>
    <w:autoRedefine/>
    <w:unhideWhenUsed/>
    <w:qFormat/>
    <w:uiPriority w:val="39"/>
    <w:pPr>
      <w:ind w:left="960"/>
      <w:jc w:val="left"/>
    </w:pPr>
    <w:rPr>
      <w:rFonts w:asciiTheme="minorHAnsi" w:eastAsiaTheme="minorHAnsi"/>
      <w:sz w:val="20"/>
      <w:szCs w:val="20"/>
    </w:rPr>
  </w:style>
  <w:style w:type="paragraph" w:styleId="8">
    <w:name w:val="toc 3"/>
    <w:basedOn w:val="1"/>
    <w:next w:val="1"/>
    <w:autoRedefine/>
    <w:unhideWhenUsed/>
    <w:qFormat/>
    <w:uiPriority w:val="39"/>
    <w:pPr>
      <w:spacing w:before="60"/>
      <w:ind w:left="624" w:firstLine="0" w:firstLineChars="0"/>
      <w:jc w:val="left"/>
    </w:pPr>
    <w:rPr>
      <w:rFonts w:eastAsiaTheme="minorHAnsi"/>
      <w:szCs w:val="20"/>
    </w:rPr>
  </w:style>
  <w:style w:type="paragraph" w:styleId="9">
    <w:name w:val="toc 8"/>
    <w:basedOn w:val="1"/>
    <w:next w:val="1"/>
    <w:autoRedefine/>
    <w:unhideWhenUsed/>
    <w:qFormat/>
    <w:uiPriority w:val="39"/>
    <w:pPr>
      <w:ind w:left="1680"/>
      <w:jc w:val="left"/>
    </w:pPr>
    <w:rPr>
      <w:rFonts w:asciiTheme="minorHAnsi" w:eastAsiaTheme="minorHAnsi"/>
      <w:sz w:val="20"/>
      <w:szCs w:val="20"/>
    </w:rPr>
  </w:style>
  <w:style w:type="paragraph" w:styleId="10">
    <w:name w:val="Balloon Text"/>
    <w:basedOn w:val="1"/>
    <w:link w:val="33"/>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pPr>
      <w:spacing w:before="120"/>
      <w:ind w:firstLine="0" w:firstLineChars="0"/>
      <w:jc w:val="left"/>
    </w:pPr>
    <w:rPr>
      <w:rFonts w:eastAsiaTheme="minorHAnsi"/>
      <w:b/>
      <w:bCs/>
      <w:iCs/>
      <w:sz w:val="28"/>
      <w:szCs w:val="24"/>
    </w:rPr>
  </w:style>
  <w:style w:type="paragraph" w:styleId="14">
    <w:name w:val="toc 4"/>
    <w:basedOn w:val="1"/>
    <w:next w:val="1"/>
    <w:autoRedefine/>
    <w:unhideWhenUsed/>
    <w:qFormat/>
    <w:uiPriority w:val="39"/>
    <w:pPr>
      <w:ind w:left="720"/>
      <w:jc w:val="left"/>
    </w:pPr>
    <w:rPr>
      <w:rFonts w:eastAsiaTheme="minorHAnsi"/>
      <w:sz w:val="20"/>
      <w:szCs w:val="20"/>
    </w:rPr>
  </w:style>
  <w:style w:type="paragraph" w:styleId="15">
    <w:name w:val="toc 6"/>
    <w:basedOn w:val="1"/>
    <w:next w:val="1"/>
    <w:autoRedefine/>
    <w:unhideWhenUsed/>
    <w:qFormat/>
    <w:uiPriority w:val="39"/>
    <w:pPr>
      <w:ind w:left="1200"/>
      <w:jc w:val="left"/>
    </w:pPr>
    <w:rPr>
      <w:rFonts w:asciiTheme="minorHAnsi" w:eastAsiaTheme="minorHAnsi"/>
      <w:sz w:val="20"/>
      <w:szCs w:val="20"/>
    </w:rPr>
  </w:style>
  <w:style w:type="paragraph" w:styleId="16">
    <w:name w:val="toc 2"/>
    <w:basedOn w:val="1"/>
    <w:next w:val="1"/>
    <w:autoRedefine/>
    <w:unhideWhenUsed/>
    <w:qFormat/>
    <w:uiPriority w:val="39"/>
    <w:pPr>
      <w:tabs>
        <w:tab w:val="right" w:leader="dot" w:pos="9016"/>
      </w:tabs>
      <w:snapToGrid w:val="0"/>
      <w:spacing w:before="60"/>
      <w:ind w:left="238" w:firstLine="0" w:firstLineChars="0"/>
      <w:jc w:val="left"/>
    </w:pPr>
    <w:rPr>
      <w:rFonts w:eastAsiaTheme="minorHAnsi"/>
      <w:bCs/>
      <w:szCs w:val="22"/>
    </w:rPr>
  </w:style>
  <w:style w:type="paragraph" w:styleId="17">
    <w:name w:val="toc 9"/>
    <w:basedOn w:val="1"/>
    <w:next w:val="1"/>
    <w:autoRedefine/>
    <w:unhideWhenUsed/>
    <w:qFormat/>
    <w:uiPriority w:val="39"/>
    <w:pPr>
      <w:ind w:left="192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ind w:firstLine="0" w:firstLineChars="0"/>
      <w:jc w:val="left"/>
    </w:pPr>
    <w:rPr>
      <w:rFonts w:ascii="宋体" w:hAnsi="宋体" w:cs="宋体"/>
      <w:kern w:val="0"/>
      <w:szCs w:val="24"/>
    </w:rPr>
  </w:style>
  <w:style w:type="paragraph" w:styleId="19">
    <w:name w:val="Title"/>
    <w:basedOn w:val="1"/>
    <w:next w:val="1"/>
    <w:link w:val="56"/>
    <w:qFormat/>
    <w:uiPriority w:val="10"/>
    <w:pPr>
      <w:spacing w:before="240" w:after="60"/>
      <w:jc w:val="center"/>
      <w:outlineLvl w:val="0"/>
    </w:pPr>
    <w:rPr>
      <w:rFonts w:asciiTheme="majorHAnsi" w:hAnsiTheme="majorHAnsi" w:eastAsiaTheme="majorEastAsia" w:cstheme="majorBidi"/>
      <w:b/>
      <w:bCs/>
      <w:sz w:val="32"/>
      <w:szCs w:val="32"/>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basedOn w:val="22"/>
    <w:unhideWhenUsed/>
    <w:qFormat/>
    <w:uiPriority w:val="99"/>
    <w:rPr>
      <w:color w:val="0563C1" w:themeColor="hyperlink"/>
      <w:u w:val="single"/>
      <w14:textFill>
        <w14:solidFill>
          <w14:schemeClr w14:val="hlink"/>
        </w14:solidFill>
      </w14:textFill>
    </w:rPr>
  </w:style>
  <w:style w:type="character" w:customStyle="1" w:styleId="24">
    <w:name w:val="页眉 字符"/>
    <w:basedOn w:val="22"/>
    <w:link w:val="12"/>
    <w:qFormat/>
    <w:uiPriority w:val="99"/>
    <w:rPr>
      <w:sz w:val="18"/>
      <w:szCs w:val="18"/>
    </w:rPr>
  </w:style>
  <w:style w:type="character" w:customStyle="1" w:styleId="25">
    <w:name w:val="页脚 字符"/>
    <w:basedOn w:val="22"/>
    <w:link w:val="11"/>
    <w:qFormat/>
    <w:uiPriority w:val="99"/>
    <w:rPr>
      <w:sz w:val="18"/>
      <w:szCs w:val="18"/>
    </w:rPr>
  </w:style>
  <w:style w:type="character" w:customStyle="1" w:styleId="26">
    <w:name w:val="标题 1 字符"/>
    <w:basedOn w:val="22"/>
    <w:link w:val="2"/>
    <w:qFormat/>
    <w:uiPriority w:val="9"/>
    <w:rPr>
      <w:rFonts w:ascii="Times New Roman" w:hAnsi="Times New Roman" w:eastAsia="黑体"/>
      <w:b/>
      <w:bCs/>
      <w:kern w:val="44"/>
      <w:sz w:val="32"/>
      <w:szCs w:val="44"/>
    </w:rPr>
  </w:style>
  <w:style w:type="character" w:customStyle="1" w:styleId="27">
    <w:name w:val="标题 2 字符"/>
    <w:basedOn w:val="22"/>
    <w:link w:val="3"/>
    <w:qFormat/>
    <w:uiPriority w:val="9"/>
    <w:rPr>
      <w:rFonts w:ascii="Times New Roman" w:hAnsi="Times New Roman" w:eastAsia="黑体" w:cstheme="majorBidi"/>
      <w:b/>
      <w:bCs/>
      <w:sz w:val="28"/>
      <w:szCs w:val="32"/>
    </w:rPr>
  </w:style>
  <w:style w:type="character" w:customStyle="1" w:styleId="28">
    <w:name w:val="标题 3 字符"/>
    <w:basedOn w:val="22"/>
    <w:link w:val="4"/>
    <w:qFormat/>
    <w:uiPriority w:val="9"/>
    <w:rPr>
      <w:rFonts w:ascii="Times New Roman" w:hAnsi="Times New Roman" w:eastAsia="黑体"/>
      <w:b/>
      <w:bCs/>
      <w:sz w:val="24"/>
      <w:szCs w:val="32"/>
    </w:rPr>
  </w:style>
  <w:style w:type="paragraph" w:styleId="29">
    <w:name w:val="List Paragraph"/>
    <w:basedOn w:val="1"/>
    <w:qFormat/>
    <w:uiPriority w:val="34"/>
    <w:pPr>
      <w:ind w:firstLine="420"/>
    </w:pPr>
  </w:style>
  <w:style w:type="paragraph" w:customStyle="1" w:styleId="30">
    <w:name w:val="图表标题"/>
    <w:basedOn w:val="1"/>
    <w:next w:val="1"/>
    <w:qFormat/>
    <w:uiPriority w:val="0"/>
    <w:pPr>
      <w:ind w:firstLine="0" w:firstLineChars="0"/>
      <w:jc w:val="center"/>
    </w:pPr>
    <w:rPr>
      <w:b/>
    </w:rPr>
  </w:style>
  <w:style w:type="character" w:customStyle="1" w:styleId="31">
    <w:name w:val="未处理的提及1"/>
    <w:basedOn w:val="22"/>
    <w:semiHidden/>
    <w:unhideWhenUsed/>
    <w:qFormat/>
    <w:uiPriority w:val="99"/>
    <w:rPr>
      <w:color w:val="605E5C"/>
      <w:shd w:val="clear" w:color="auto" w:fill="E1DFDD"/>
    </w:rPr>
  </w:style>
  <w:style w:type="paragraph" w:customStyle="1" w:styleId="32">
    <w:name w:val="Bibliography"/>
    <w:basedOn w:val="1"/>
    <w:next w:val="1"/>
    <w:unhideWhenUsed/>
    <w:qFormat/>
    <w:uiPriority w:val="37"/>
  </w:style>
  <w:style w:type="character" w:customStyle="1" w:styleId="33">
    <w:name w:val="批注框文本 字符"/>
    <w:basedOn w:val="22"/>
    <w:link w:val="10"/>
    <w:semiHidden/>
    <w:qFormat/>
    <w:uiPriority w:val="99"/>
    <w:rPr>
      <w:rFonts w:ascii="Times New Roman" w:hAnsi="Times New Roman" w:eastAsia="宋体"/>
      <w:sz w:val="18"/>
      <w:szCs w:val="18"/>
    </w:rPr>
  </w:style>
  <w:style w:type="table" w:customStyle="1" w:styleId="34">
    <w:name w:val="三线表"/>
    <w:basedOn w:val="20"/>
    <w:qFormat/>
    <w:uiPriority w:val="99"/>
    <w:pPr>
      <w:jc w:val="center"/>
    </w:pPr>
    <w:tblPr>
      <w:jc w:val="center"/>
      <w:tblBorders>
        <w:bottom w:val="single" w:color="auto" w:sz="12" w:space="0"/>
      </w:tblBorders>
    </w:tblPr>
    <w:trPr>
      <w:jc w:val="center"/>
    </w:trPr>
    <w:tcPr>
      <w:vAlign w:val="center"/>
    </w:tcPr>
    <w:tblStylePr w:type="firstRow">
      <w:tcPr>
        <w:tcBorders>
          <w:top w:val="single" w:color="auto" w:sz="12" w:space="0"/>
          <w:left w:val="nil"/>
          <w:bottom w:val="single" w:color="auto" w:sz="6" w:space="0"/>
          <w:right w:val="nil"/>
          <w:insideH w:val="nil"/>
          <w:insideV w:val="nil"/>
          <w:tl2br w:val="nil"/>
          <w:tr2bl w:val="nil"/>
        </w:tcBorders>
      </w:tcPr>
    </w:tblStylePr>
  </w:style>
  <w:style w:type="paragraph" w:customStyle="1" w:styleId="35">
    <w:name w:val="TOC Heading"/>
    <w:basedOn w:val="2"/>
    <w:next w:val="1"/>
    <w:unhideWhenUsed/>
    <w:qFormat/>
    <w:uiPriority w:val="39"/>
    <w:pPr>
      <w:widowControl/>
      <w:numPr>
        <w:numId w:val="0"/>
      </w:numPr>
      <w:spacing w:before="240" w:after="0" w:line="259" w:lineRule="auto"/>
      <w:outlineLvl w:val="9"/>
    </w:pPr>
    <w:rPr>
      <w:rFonts w:asciiTheme="majorHAnsi" w:hAnsiTheme="majorHAnsi" w:eastAsiaTheme="majorEastAsia" w:cstheme="majorBidi"/>
      <w:b w:val="0"/>
      <w:bCs w:val="0"/>
      <w:color w:val="2F5597" w:themeColor="accent1" w:themeShade="BF"/>
      <w:kern w:val="0"/>
      <w:szCs w:val="32"/>
    </w:rPr>
  </w:style>
  <w:style w:type="character" w:styleId="36">
    <w:name w:val="Placeholder Text"/>
    <w:basedOn w:val="22"/>
    <w:semiHidden/>
    <w:qFormat/>
    <w:uiPriority w:val="99"/>
    <w:rPr>
      <w:color w:val="808080"/>
    </w:rPr>
  </w:style>
  <w:style w:type="character" w:customStyle="1" w:styleId="37">
    <w:name w:val="AMEquationSection"/>
    <w:basedOn w:val="22"/>
    <w:qFormat/>
    <w:uiPriority w:val="0"/>
    <w:rPr>
      <w:rFonts w:ascii="黑体" w:hAnsi="黑体" w:eastAsia="黑体"/>
      <w:color w:val="FF0000"/>
      <w:sz w:val="32"/>
      <w:szCs w:val="32"/>
    </w:rPr>
  </w:style>
  <w:style w:type="paragraph" w:customStyle="1" w:styleId="38">
    <w:name w:val="AMDisplayEquation"/>
    <w:basedOn w:val="2"/>
    <w:next w:val="1"/>
    <w:link w:val="39"/>
    <w:qFormat/>
    <w:uiPriority w:val="0"/>
    <w:pPr>
      <w:tabs>
        <w:tab w:val="center" w:pos="4420"/>
        <w:tab w:val="right" w:pos="8840"/>
      </w:tabs>
    </w:pPr>
    <w:rPr>
      <w:color w:val="FF0000"/>
    </w:rPr>
  </w:style>
  <w:style w:type="character" w:customStyle="1" w:styleId="39">
    <w:name w:val="AMDisplayEquation 字符"/>
    <w:basedOn w:val="22"/>
    <w:link w:val="38"/>
    <w:qFormat/>
    <w:uiPriority w:val="0"/>
    <w:rPr>
      <w:rFonts w:ascii="黑体" w:hAnsi="黑体" w:eastAsia="黑体"/>
      <w:bCs/>
      <w:color w:val="FF0000"/>
      <w:kern w:val="44"/>
      <w:sz w:val="28"/>
      <w:szCs w:val="44"/>
    </w:rPr>
  </w:style>
  <w:style w:type="paragraph" w:customStyle="1" w:styleId="40">
    <w:name w:val="EndNote Bibliography Title"/>
    <w:basedOn w:val="1"/>
    <w:link w:val="41"/>
    <w:qFormat/>
    <w:uiPriority w:val="0"/>
    <w:pPr>
      <w:jc w:val="center"/>
    </w:pPr>
    <w:rPr>
      <w:rFonts w:cs="Times New Roman"/>
    </w:rPr>
  </w:style>
  <w:style w:type="character" w:customStyle="1" w:styleId="41">
    <w:name w:val="EndNote Bibliography Title 字符"/>
    <w:basedOn w:val="22"/>
    <w:link w:val="40"/>
    <w:qFormat/>
    <w:uiPriority w:val="0"/>
    <w:rPr>
      <w:rFonts w:ascii="Times New Roman" w:hAnsi="Times New Roman" w:eastAsia="宋体" w:cs="Times New Roman"/>
      <w:sz w:val="24"/>
    </w:rPr>
  </w:style>
  <w:style w:type="paragraph" w:customStyle="1" w:styleId="42">
    <w:name w:val="EndNote Bibliography"/>
    <w:basedOn w:val="1"/>
    <w:link w:val="43"/>
    <w:qFormat/>
    <w:uiPriority w:val="0"/>
    <w:rPr>
      <w:rFonts w:cs="Times New Roman"/>
    </w:rPr>
  </w:style>
  <w:style w:type="character" w:customStyle="1" w:styleId="43">
    <w:name w:val="EndNote Bibliography 字符"/>
    <w:basedOn w:val="22"/>
    <w:link w:val="42"/>
    <w:qFormat/>
    <w:uiPriority w:val="0"/>
    <w:rPr>
      <w:rFonts w:ascii="Times New Roman" w:hAnsi="Times New Roman" w:eastAsia="宋体" w:cs="Times New Roman"/>
      <w:sz w:val="24"/>
    </w:rPr>
  </w:style>
  <w:style w:type="character" w:customStyle="1" w:styleId="44">
    <w:name w:val="正文文本 (3)_"/>
    <w:basedOn w:val="22"/>
    <w:link w:val="45"/>
    <w:qFormat/>
    <w:uiPriority w:val="0"/>
    <w:rPr>
      <w:rFonts w:ascii="Times New Roman" w:hAnsi="Times New Roman" w:eastAsia="Times New Roman" w:cs="Times New Roman"/>
      <w:sz w:val="22"/>
    </w:rPr>
  </w:style>
  <w:style w:type="paragraph" w:customStyle="1" w:styleId="45">
    <w:name w:val="正文文本 (3)"/>
    <w:basedOn w:val="1"/>
    <w:link w:val="44"/>
    <w:qFormat/>
    <w:uiPriority w:val="0"/>
    <w:pPr>
      <w:spacing w:line="276" w:lineRule="auto"/>
      <w:ind w:firstLine="380" w:firstLineChars="0"/>
      <w:jc w:val="left"/>
    </w:pPr>
    <w:rPr>
      <w:rFonts w:eastAsia="Times New Roman" w:cs="Times New Roman"/>
      <w:sz w:val="22"/>
    </w:rPr>
  </w:style>
  <w:style w:type="paragraph" w:styleId="46">
    <w:name w:val="No Spacing"/>
    <w:qFormat/>
    <w:uiPriority w:val="1"/>
    <w:pPr>
      <w:widowControl w:val="0"/>
      <w:ind w:firstLine="200" w:firstLineChars="200"/>
      <w:jc w:val="both"/>
    </w:pPr>
    <w:rPr>
      <w:rFonts w:asciiTheme="minorHAnsi" w:hAnsiTheme="minorHAnsi" w:eastAsiaTheme="minorEastAsia" w:cstheme="minorBidi"/>
      <w:kern w:val="2"/>
      <w:sz w:val="21"/>
      <w:szCs w:val="21"/>
      <w:lang w:val="en-US" w:eastAsia="zh-CN" w:bidi="ar-SA"/>
    </w:rPr>
  </w:style>
  <w:style w:type="character" w:customStyle="1" w:styleId="47">
    <w:name w:val="Unresolved Mention"/>
    <w:basedOn w:val="22"/>
    <w:semiHidden/>
    <w:unhideWhenUsed/>
    <w:qFormat/>
    <w:uiPriority w:val="99"/>
    <w:rPr>
      <w:color w:val="605E5C"/>
      <w:shd w:val="clear" w:color="auto" w:fill="E1DFDD"/>
    </w:rPr>
  </w:style>
  <w:style w:type="character" w:customStyle="1" w:styleId="48">
    <w:name w:val="标题 #2_"/>
    <w:basedOn w:val="22"/>
    <w:link w:val="49"/>
    <w:qFormat/>
    <w:uiPriority w:val="0"/>
    <w:rPr>
      <w:rFonts w:ascii="Book Antiqua" w:hAnsi="Book Antiqua" w:eastAsia="Book Antiqua" w:cs="Book Antiqua"/>
      <w:b/>
      <w:bCs/>
      <w:sz w:val="34"/>
      <w:szCs w:val="34"/>
    </w:rPr>
  </w:style>
  <w:style w:type="paragraph" w:customStyle="1" w:styleId="49">
    <w:name w:val="标题 #2"/>
    <w:basedOn w:val="1"/>
    <w:link w:val="48"/>
    <w:qFormat/>
    <w:uiPriority w:val="0"/>
    <w:pPr>
      <w:spacing w:after="270"/>
      <w:ind w:firstLine="0" w:firstLineChars="0"/>
      <w:jc w:val="left"/>
      <w:outlineLvl w:val="1"/>
    </w:pPr>
    <w:rPr>
      <w:rFonts w:ascii="Book Antiqua" w:hAnsi="Book Antiqua" w:eastAsia="Book Antiqua" w:cs="Book Antiqua"/>
      <w:b/>
      <w:bCs/>
      <w:sz w:val="34"/>
      <w:szCs w:val="34"/>
    </w:rPr>
  </w:style>
  <w:style w:type="paragraph" w:customStyle="1" w:styleId="50">
    <w:name w:val="图片标题"/>
    <w:basedOn w:val="1"/>
    <w:link w:val="52"/>
    <w:qFormat/>
    <w:uiPriority w:val="0"/>
    <w:pPr>
      <w:numPr>
        <w:ilvl w:val="5"/>
        <w:numId w:val="1"/>
      </w:numPr>
      <w:spacing w:after="50" w:afterLines="50"/>
      <w:ind w:firstLineChars="0"/>
      <w:jc w:val="center"/>
    </w:pPr>
    <w:rPr>
      <w:rFonts w:eastAsia="Times New Roman"/>
      <w:b/>
    </w:rPr>
  </w:style>
  <w:style w:type="paragraph" w:customStyle="1" w:styleId="51">
    <w:name w:val="表格标题"/>
    <w:basedOn w:val="50"/>
    <w:link w:val="54"/>
    <w:qFormat/>
    <w:uiPriority w:val="0"/>
    <w:pPr>
      <w:numPr>
        <w:ilvl w:val="4"/>
      </w:numPr>
      <w:spacing w:before="50" w:beforeLines="50" w:after="0" w:afterLines="0"/>
    </w:pPr>
  </w:style>
  <w:style w:type="character" w:customStyle="1" w:styleId="52">
    <w:name w:val="图片标题 字符"/>
    <w:basedOn w:val="22"/>
    <w:link w:val="50"/>
    <w:qFormat/>
    <w:uiPriority w:val="0"/>
    <w:rPr>
      <w:rFonts w:ascii="Times New Roman" w:hAnsi="Times New Roman" w:eastAsia="Times New Roman"/>
      <w:b/>
      <w:sz w:val="24"/>
    </w:rPr>
  </w:style>
  <w:style w:type="paragraph" w:customStyle="1" w:styleId="53">
    <w:name w:val="参考文献"/>
    <w:basedOn w:val="1"/>
    <w:link w:val="55"/>
    <w:qFormat/>
    <w:uiPriority w:val="0"/>
    <w:pPr>
      <w:numPr>
        <w:ilvl w:val="6"/>
        <w:numId w:val="1"/>
      </w:numPr>
      <w:ind w:firstLineChars="0"/>
    </w:pPr>
    <w:rPr>
      <w:rFonts w:eastAsia="Times New Roman"/>
    </w:rPr>
  </w:style>
  <w:style w:type="character" w:customStyle="1" w:styleId="54">
    <w:name w:val="表格标题 字符"/>
    <w:basedOn w:val="52"/>
    <w:link w:val="51"/>
    <w:qFormat/>
    <w:uiPriority w:val="0"/>
    <w:rPr>
      <w:rFonts w:ascii="Times New Roman" w:hAnsi="Times New Roman" w:eastAsia="Times New Roman"/>
      <w:sz w:val="24"/>
    </w:rPr>
  </w:style>
  <w:style w:type="character" w:customStyle="1" w:styleId="55">
    <w:name w:val="参考文献 字符"/>
    <w:basedOn w:val="22"/>
    <w:link w:val="53"/>
    <w:qFormat/>
    <w:uiPriority w:val="0"/>
    <w:rPr>
      <w:rFonts w:ascii="Times New Roman" w:hAnsi="Times New Roman" w:eastAsia="Times New Roman"/>
      <w:sz w:val="24"/>
    </w:rPr>
  </w:style>
  <w:style w:type="character" w:customStyle="1" w:styleId="56">
    <w:name w:val="标题 字符"/>
    <w:basedOn w:val="22"/>
    <w:link w:val="19"/>
    <w:qFormat/>
    <w:uiPriority w:val="10"/>
    <w:rPr>
      <w:rFonts w:asciiTheme="majorHAnsi" w:hAnsiTheme="majorHAnsi" w:eastAsiaTheme="majorEastAsia" w:cstheme="majorBidi"/>
      <w:b/>
      <w:bCs/>
      <w:sz w:val="32"/>
      <w:szCs w:val="32"/>
    </w:rPr>
  </w:style>
  <w:style w:type="character" w:customStyle="1" w:styleId="57">
    <w:name w:val="ng-star-inserted"/>
    <w:basedOn w:val="22"/>
    <w:qFormat/>
    <w:uiPriority w:val="0"/>
  </w:style>
  <w:style w:type="character" w:customStyle="1" w:styleId="58">
    <w:name w:val="标题 4 字符"/>
    <w:basedOn w:val="22"/>
    <w:link w:val="5"/>
    <w:semiHidden/>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6.bin"/><Relationship Id="rId98" Type="http://schemas.openxmlformats.org/officeDocument/2006/relationships/image" Target="media/image41.wmf"/><Relationship Id="rId97" Type="http://schemas.openxmlformats.org/officeDocument/2006/relationships/oleObject" Target="embeddings/oleObject45.bin"/><Relationship Id="rId96" Type="http://schemas.openxmlformats.org/officeDocument/2006/relationships/oleObject" Target="embeddings/oleObject44.bin"/><Relationship Id="rId95" Type="http://schemas.openxmlformats.org/officeDocument/2006/relationships/image" Target="media/image40.wmf"/><Relationship Id="rId94" Type="http://schemas.openxmlformats.org/officeDocument/2006/relationships/oleObject" Target="embeddings/oleObject43.bin"/><Relationship Id="rId93" Type="http://schemas.openxmlformats.org/officeDocument/2006/relationships/image" Target="media/image39.wmf"/><Relationship Id="rId92" Type="http://schemas.openxmlformats.org/officeDocument/2006/relationships/oleObject" Target="embeddings/oleObject42.bin"/><Relationship Id="rId91" Type="http://schemas.openxmlformats.org/officeDocument/2006/relationships/image" Target="media/image38.wmf"/><Relationship Id="rId90" Type="http://schemas.openxmlformats.org/officeDocument/2006/relationships/oleObject" Target="embeddings/oleObject41.bin"/><Relationship Id="rId9" Type="http://schemas.openxmlformats.org/officeDocument/2006/relationships/footer" Target="footer2.xml"/><Relationship Id="rId89" Type="http://schemas.openxmlformats.org/officeDocument/2006/relationships/oleObject" Target="embeddings/oleObject40.bin"/><Relationship Id="rId88" Type="http://schemas.openxmlformats.org/officeDocument/2006/relationships/image" Target="media/image37.png"/><Relationship Id="rId87" Type="http://schemas.openxmlformats.org/officeDocument/2006/relationships/image" Target="media/image36.wmf"/><Relationship Id="rId86" Type="http://schemas.openxmlformats.org/officeDocument/2006/relationships/oleObject" Target="embeddings/oleObject39.bin"/><Relationship Id="rId85" Type="http://schemas.openxmlformats.org/officeDocument/2006/relationships/image" Target="media/image35.wmf"/><Relationship Id="rId84" Type="http://schemas.openxmlformats.org/officeDocument/2006/relationships/oleObject" Target="embeddings/oleObject38.bin"/><Relationship Id="rId83" Type="http://schemas.openxmlformats.org/officeDocument/2006/relationships/image" Target="media/image34.wmf"/><Relationship Id="rId82" Type="http://schemas.openxmlformats.org/officeDocument/2006/relationships/oleObject" Target="embeddings/oleObject37.bin"/><Relationship Id="rId81" Type="http://schemas.openxmlformats.org/officeDocument/2006/relationships/image" Target="media/image33.wmf"/><Relationship Id="rId80" Type="http://schemas.openxmlformats.org/officeDocument/2006/relationships/oleObject" Target="embeddings/oleObject36.bin"/><Relationship Id="rId8" Type="http://schemas.openxmlformats.org/officeDocument/2006/relationships/footer" Target="footer1.xml"/><Relationship Id="rId79" Type="http://schemas.openxmlformats.org/officeDocument/2006/relationships/image" Target="media/image32.wmf"/><Relationship Id="rId78" Type="http://schemas.openxmlformats.org/officeDocument/2006/relationships/oleObject" Target="embeddings/oleObject35.bin"/><Relationship Id="rId77" Type="http://schemas.openxmlformats.org/officeDocument/2006/relationships/image" Target="media/image31.wmf"/><Relationship Id="rId76" Type="http://schemas.openxmlformats.org/officeDocument/2006/relationships/oleObject" Target="embeddings/oleObject34.bin"/><Relationship Id="rId75" Type="http://schemas.openxmlformats.org/officeDocument/2006/relationships/image" Target="media/image30.wmf"/><Relationship Id="rId74" Type="http://schemas.openxmlformats.org/officeDocument/2006/relationships/oleObject" Target="embeddings/oleObject33.bin"/><Relationship Id="rId73" Type="http://schemas.openxmlformats.org/officeDocument/2006/relationships/image" Target="media/image29.wmf"/><Relationship Id="rId72" Type="http://schemas.openxmlformats.org/officeDocument/2006/relationships/oleObject" Target="embeddings/oleObject32.bin"/><Relationship Id="rId71" Type="http://schemas.openxmlformats.org/officeDocument/2006/relationships/image" Target="media/image28.wmf"/><Relationship Id="rId70" Type="http://schemas.openxmlformats.org/officeDocument/2006/relationships/oleObject" Target="embeddings/oleObject31.bin"/><Relationship Id="rId7" Type="http://schemas.openxmlformats.org/officeDocument/2006/relationships/header" Target="header3.xml"/><Relationship Id="rId69" Type="http://schemas.openxmlformats.org/officeDocument/2006/relationships/oleObject" Target="embeddings/oleObject30.bin"/><Relationship Id="rId68" Type="http://schemas.openxmlformats.org/officeDocument/2006/relationships/image" Target="media/image27.wmf"/><Relationship Id="rId67" Type="http://schemas.openxmlformats.org/officeDocument/2006/relationships/oleObject" Target="embeddings/oleObject29.bin"/><Relationship Id="rId66" Type="http://schemas.openxmlformats.org/officeDocument/2006/relationships/image" Target="media/image26.wmf"/><Relationship Id="rId65" Type="http://schemas.openxmlformats.org/officeDocument/2006/relationships/oleObject" Target="embeddings/oleObject28.bin"/><Relationship Id="rId64" Type="http://schemas.openxmlformats.org/officeDocument/2006/relationships/image" Target="media/image25.wmf"/><Relationship Id="rId63" Type="http://schemas.openxmlformats.org/officeDocument/2006/relationships/oleObject" Target="embeddings/oleObject27.bin"/><Relationship Id="rId62" Type="http://schemas.openxmlformats.org/officeDocument/2006/relationships/image" Target="media/image24.wmf"/><Relationship Id="rId61" Type="http://schemas.openxmlformats.org/officeDocument/2006/relationships/oleObject" Target="embeddings/oleObject26.bin"/><Relationship Id="rId60" Type="http://schemas.openxmlformats.org/officeDocument/2006/relationships/oleObject" Target="embeddings/oleObject25.bin"/><Relationship Id="rId6" Type="http://schemas.openxmlformats.org/officeDocument/2006/relationships/header" Target="header2.xml"/><Relationship Id="rId59" Type="http://schemas.openxmlformats.org/officeDocument/2006/relationships/image" Target="media/image23.wmf"/><Relationship Id="rId58" Type="http://schemas.openxmlformats.org/officeDocument/2006/relationships/oleObject" Target="embeddings/oleObject24.bin"/><Relationship Id="rId57" Type="http://schemas.openxmlformats.org/officeDocument/2006/relationships/image" Target="media/image22.wmf"/><Relationship Id="rId56" Type="http://schemas.openxmlformats.org/officeDocument/2006/relationships/oleObject" Target="embeddings/oleObject23.bin"/><Relationship Id="rId55" Type="http://schemas.openxmlformats.org/officeDocument/2006/relationships/oleObject" Target="embeddings/oleObject22.bin"/><Relationship Id="rId54" Type="http://schemas.openxmlformats.org/officeDocument/2006/relationships/image" Target="media/image21.wmf"/><Relationship Id="rId53" Type="http://schemas.openxmlformats.org/officeDocument/2006/relationships/oleObject" Target="embeddings/oleObject21.bin"/><Relationship Id="rId52" Type="http://schemas.openxmlformats.org/officeDocument/2006/relationships/image" Target="media/image20.wmf"/><Relationship Id="rId51" Type="http://schemas.openxmlformats.org/officeDocument/2006/relationships/oleObject" Target="embeddings/oleObject20.bin"/><Relationship Id="rId50" Type="http://schemas.openxmlformats.org/officeDocument/2006/relationships/image" Target="media/image19.wmf"/><Relationship Id="rId5" Type="http://schemas.openxmlformats.org/officeDocument/2006/relationships/header" Target="header1.xml"/><Relationship Id="rId49" Type="http://schemas.openxmlformats.org/officeDocument/2006/relationships/oleObject" Target="embeddings/oleObject19.bin"/><Relationship Id="rId48" Type="http://schemas.openxmlformats.org/officeDocument/2006/relationships/image" Target="media/image18.wmf"/><Relationship Id="rId47" Type="http://schemas.openxmlformats.org/officeDocument/2006/relationships/oleObject" Target="embeddings/oleObject18.bin"/><Relationship Id="rId46" Type="http://schemas.openxmlformats.org/officeDocument/2006/relationships/oleObject" Target="embeddings/oleObject17.bin"/><Relationship Id="rId45" Type="http://schemas.openxmlformats.org/officeDocument/2006/relationships/image" Target="media/image17.wmf"/><Relationship Id="rId44" Type="http://schemas.openxmlformats.org/officeDocument/2006/relationships/oleObject" Target="embeddings/oleObject16.bin"/><Relationship Id="rId43" Type="http://schemas.openxmlformats.org/officeDocument/2006/relationships/image" Target="media/image16.wmf"/><Relationship Id="rId42" Type="http://schemas.openxmlformats.org/officeDocument/2006/relationships/oleObject" Target="embeddings/oleObject15.bin"/><Relationship Id="rId41" Type="http://schemas.openxmlformats.org/officeDocument/2006/relationships/image" Target="media/image15.wmf"/><Relationship Id="rId40" Type="http://schemas.openxmlformats.org/officeDocument/2006/relationships/oleObject" Target="embeddings/oleObject14.bin"/><Relationship Id="rId4" Type="http://schemas.openxmlformats.org/officeDocument/2006/relationships/endnotes" Target="endnotes.xml"/><Relationship Id="rId39" Type="http://schemas.openxmlformats.org/officeDocument/2006/relationships/image" Target="media/image14.wmf"/><Relationship Id="rId38" Type="http://schemas.openxmlformats.org/officeDocument/2006/relationships/oleObject" Target="embeddings/oleObject13.bin"/><Relationship Id="rId37" Type="http://schemas.openxmlformats.org/officeDocument/2006/relationships/image" Target="media/image13.wmf"/><Relationship Id="rId36" Type="http://schemas.openxmlformats.org/officeDocument/2006/relationships/oleObject" Target="embeddings/oleObject12.bin"/><Relationship Id="rId35" Type="http://schemas.openxmlformats.org/officeDocument/2006/relationships/oleObject" Target="embeddings/oleObject11.bin"/><Relationship Id="rId34" Type="http://schemas.openxmlformats.org/officeDocument/2006/relationships/image" Target="media/image12.wmf"/><Relationship Id="rId33" Type="http://schemas.openxmlformats.org/officeDocument/2006/relationships/oleObject" Target="embeddings/oleObject10.bin"/><Relationship Id="rId32" Type="http://schemas.openxmlformats.org/officeDocument/2006/relationships/image" Target="media/image11.wmf"/><Relationship Id="rId31" Type="http://schemas.openxmlformats.org/officeDocument/2006/relationships/oleObject" Target="embeddings/oleObject9.bin"/><Relationship Id="rId30" Type="http://schemas.openxmlformats.org/officeDocument/2006/relationships/image" Target="media/image10.wmf"/><Relationship Id="rId3" Type="http://schemas.openxmlformats.org/officeDocument/2006/relationships/footnotes" Target="footnotes.xml"/><Relationship Id="rId29" Type="http://schemas.openxmlformats.org/officeDocument/2006/relationships/oleObject" Target="embeddings/oleObject8.bin"/><Relationship Id="rId28" Type="http://schemas.openxmlformats.org/officeDocument/2006/relationships/image" Target="media/image9.wmf"/><Relationship Id="rId27" Type="http://schemas.openxmlformats.org/officeDocument/2006/relationships/oleObject" Target="embeddings/oleObject7.bin"/><Relationship Id="rId260" Type="http://schemas.openxmlformats.org/officeDocument/2006/relationships/fontTable" Target="fontTable.xml"/><Relationship Id="rId26" Type="http://schemas.openxmlformats.org/officeDocument/2006/relationships/image" Target="media/image8.wmf"/><Relationship Id="rId259" Type="http://schemas.openxmlformats.org/officeDocument/2006/relationships/customXml" Target="../customXml/item1.xml"/><Relationship Id="rId258" Type="http://schemas.openxmlformats.org/officeDocument/2006/relationships/numbering" Target="numbering.xml"/><Relationship Id="rId257" Type="http://schemas.openxmlformats.org/officeDocument/2006/relationships/image" Target="media/image122.wmf"/><Relationship Id="rId256" Type="http://schemas.openxmlformats.org/officeDocument/2006/relationships/oleObject" Target="embeddings/oleObject123.bin"/><Relationship Id="rId255" Type="http://schemas.openxmlformats.org/officeDocument/2006/relationships/image" Target="media/image121.png"/><Relationship Id="rId254" Type="http://schemas.openxmlformats.org/officeDocument/2006/relationships/image" Target="media/image120.wmf"/><Relationship Id="rId253" Type="http://schemas.openxmlformats.org/officeDocument/2006/relationships/oleObject" Target="embeddings/oleObject122.bin"/><Relationship Id="rId252" Type="http://schemas.openxmlformats.org/officeDocument/2006/relationships/image" Target="media/image119.wmf"/><Relationship Id="rId251" Type="http://schemas.openxmlformats.org/officeDocument/2006/relationships/oleObject" Target="embeddings/oleObject121.bin"/><Relationship Id="rId250" Type="http://schemas.openxmlformats.org/officeDocument/2006/relationships/image" Target="media/image118.wmf"/><Relationship Id="rId25" Type="http://schemas.openxmlformats.org/officeDocument/2006/relationships/oleObject" Target="embeddings/oleObject6.bin"/><Relationship Id="rId249" Type="http://schemas.openxmlformats.org/officeDocument/2006/relationships/oleObject" Target="embeddings/oleObject120.bin"/><Relationship Id="rId248" Type="http://schemas.openxmlformats.org/officeDocument/2006/relationships/image" Target="media/image117.wmf"/><Relationship Id="rId247" Type="http://schemas.openxmlformats.org/officeDocument/2006/relationships/oleObject" Target="embeddings/oleObject119.bin"/><Relationship Id="rId246" Type="http://schemas.openxmlformats.org/officeDocument/2006/relationships/image" Target="media/image116.wmf"/><Relationship Id="rId245" Type="http://schemas.openxmlformats.org/officeDocument/2006/relationships/oleObject" Target="embeddings/oleObject118.bin"/><Relationship Id="rId244" Type="http://schemas.openxmlformats.org/officeDocument/2006/relationships/image" Target="media/image115.wmf"/><Relationship Id="rId243" Type="http://schemas.openxmlformats.org/officeDocument/2006/relationships/oleObject" Target="embeddings/oleObject117.bin"/><Relationship Id="rId242" Type="http://schemas.openxmlformats.org/officeDocument/2006/relationships/image" Target="media/image114.wmf"/><Relationship Id="rId241" Type="http://schemas.openxmlformats.org/officeDocument/2006/relationships/oleObject" Target="embeddings/oleObject116.bin"/><Relationship Id="rId240" Type="http://schemas.openxmlformats.org/officeDocument/2006/relationships/image" Target="media/image113.png"/><Relationship Id="rId24" Type="http://schemas.openxmlformats.org/officeDocument/2006/relationships/image" Target="media/image7.wmf"/><Relationship Id="rId239" Type="http://schemas.openxmlformats.org/officeDocument/2006/relationships/image" Target="media/image112.png"/><Relationship Id="rId238" Type="http://schemas.openxmlformats.org/officeDocument/2006/relationships/image" Target="media/image111.png"/><Relationship Id="rId237" Type="http://schemas.openxmlformats.org/officeDocument/2006/relationships/image" Target="media/image110.wmf"/><Relationship Id="rId236" Type="http://schemas.openxmlformats.org/officeDocument/2006/relationships/oleObject" Target="embeddings/oleObject115.bin"/><Relationship Id="rId235" Type="http://schemas.openxmlformats.org/officeDocument/2006/relationships/image" Target="media/image109.wmf"/><Relationship Id="rId234" Type="http://schemas.openxmlformats.org/officeDocument/2006/relationships/oleObject" Target="embeddings/oleObject114.bin"/><Relationship Id="rId233" Type="http://schemas.openxmlformats.org/officeDocument/2006/relationships/image" Target="media/image108.wmf"/><Relationship Id="rId232" Type="http://schemas.openxmlformats.org/officeDocument/2006/relationships/oleObject" Target="embeddings/oleObject113.bin"/><Relationship Id="rId231" Type="http://schemas.openxmlformats.org/officeDocument/2006/relationships/image" Target="media/image107.wmf"/><Relationship Id="rId230" Type="http://schemas.openxmlformats.org/officeDocument/2006/relationships/oleObject" Target="embeddings/oleObject112.bin"/><Relationship Id="rId23" Type="http://schemas.openxmlformats.org/officeDocument/2006/relationships/oleObject" Target="embeddings/oleObject5.bin"/><Relationship Id="rId229" Type="http://schemas.openxmlformats.org/officeDocument/2006/relationships/image" Target="media/image106.png"/><Relationship Id="rId228" Type="http://schemas.openxmlformats.org/officeDocument/2006/relationships/image" Target="media/image105.wmf"/><Relationship Id="rId227" Type="http://schemas.openxmlformats.org/officeDocument/2006/relationships/oleObject" Target="embeddings/oleObject111.bin"/><Relationship Id="rId226" Type="http://schemas.openxmlformats.org/officeDocument/2006/relationships/image" Target="media/image104.png"/><Relationship Id="rId225" Type="http://schemas.openxmlformats.org/officeDocument/2006/relationships/image" Target="media/image103.png"/><Relationship Id="rId224" Type="http://schemas.openxmlformats.org/officeDocument/2006/relationships/image" Target="media/image102.png"/><Relationship Id="rId223" Type="http://schemas.openxmlformats.org/officeDocument/2006/relationships/image" Target="media/image101.png"/><Relationship Id="rId222" Type="http://schemas.openxmlformats.org/officeDocument/2006/relationships/image" Target="media/image100.wmf"/><Relationship Id="rId221" Type="http://schemas.openxmlformats.org/officeDocument/2006/relationships/oleObject" Target="embeddings/oleObject110.bin"/><Relationship Id="rId220" Type="http://schemas.openxmlformats.org/officeDocument/2006/relationships/image" Target="media/image99.wmf"/><Relationship Id="rId22" Type="http://schemas.openxmlformats.org/officeDocument/2006/relationships/image" Target="media/image6.png"/><Relationship Id="rId219" Type="http://schemas.openxmlformats.org/officeDocument/2006/relationships/oleObject" Target="embeddings/oleObject109.bin"/><Relationship Id="rId218" Type="http://schemas.openxmlformats.org/officeDocument/2006/relationships/image" Target="media/image98.png"/><Relationship Id="rId217" Type="http://schemas.openxmlformats.org/officeDocument/2006/relationships/image" Target="media/image97.wmf"/><Relationship Id="rId216" Type="http://schemas.openxmlformats.org/officeDocument/2006/relationships/oleObject" Target="embeddings/oleObject108.bin"/><Relationship Id="rId215" Type="http://schemas.openxmlformats.org/officeDocument/2006/relationships/image" Target="media/image96.wmf"/><Relationship Id="rId214" Type="http://schemas.openxmlformats.org/officeDocument/2006/relationships/oleObject" Target="embeddings/oleObject107.bin"/><Relationship Id="rId213" Type="http://schemas.openxmlformats.org/officeDocument/2006/relationships/image" Target="media/image95.wmf"/><Relationship Id="rId212" Type="http://schemas.openxmlformats.org/officeDocument/2006/relationships/oleObject" Target="embeddings/oleObject106.bin"/><Relationship Id="rId211" Type="http://schemas.openxmlformats.org/officeDocument/2006/relationships/image" Target="media/image94.png"/><Relationship Id="rId210" Type="http://schemas.openxmlformats.org/officeDocument/2006/relationships/oleObject" Target="embeddings/oleObject105.bin"/><Relationship Id="rId21" Type="http://schemas.openxmlformats.org/officeDocument/2006/relationships/image" Target="media/image5.png"/><Relationship Id="rId209" Type="http://schemas.openxmlformats.org/officeDocument/2006/relationships/oleObject" Target="embeddings/oleObject104.bin"/><Relationship Id="rId208" Type="http://schemas.openxmlformats.org/officeDocument/2006/relationships/image" Target="media/image93.wmf"/><Relationship Id="rId207" Type="http://schemas.openxmlformats.org/officeDocument/2006/relationships/oleObject" Target="embeddings/oleObject103.bin"/><Relationship Id="rId206" Type="http://schemas.openxmlformats.org/officeDocument/2006/relationships/image" Target="media/image92.wmf"/><Relationship Id="rId205" Type="http://schemas.openxmlformats.org/officeDocument/2006/relationships/oleObject" Target="embeddings/oleObject102.bin"/><Relationship Id="rId204" Type="http://schemas.openxmlformats.org/officeDocument/2006/relationships/oleObject" Target="embeddings/oleObject101.bin"/><Relationship Id="rId203" Type="http://schemas.openxmlformats.org/officeDocument/2006/relationships/image" Target="media/image91.wmf"/><Relationship Id="rId202" Type="http://schemas.openxmlformats.org/officeDocument/2006/relationships/oleObject" Target="embeddings/oleObject100.bin"/><Relationship Id="rId201" Type="http://schemas.openxmlformats.org/officeDocument/2006/relationships/image" Target="media/image90.wmf"/><Relationship Id="rId200" Type="http://schemas.openxmlformats.org/officeDocument/2006/relationships/oleObject" Target="embeddings/oleObject99.bin"/><Relationship Id="rId20" Type="http://schemas.openxmlformats.org/officeDocument/2006/relationships/image" Target="media/image4.wmf"/><Relationship Id="rId2" Type="http://schemas.openxmlformats.org/officeDocument/2006/relationships/settings" Target="settings.xml"/><Relationship Id="rId199" Type="http://schemas.openxmlformats.org/officeDocument/2006/relationships/image" Target="media/image89.wmf"/><Relationship Id="rId198" Type="http://schemas.openxmlformats.org/officeDocument/2006/relationships/oleObject" Target="embeddings/oleObject98.bin"/><Relationship Id="rId197" Type="http://schemas.openxmlformats.org/officeDocument/2006/relationships/image" Target="media/image88.wmf"/><Relationship Id="rId196" Type="http://schemas.openxmlformats.org/officeDocument/2006/relationships/oleObject" Target="embeddings/oleObject97.bin"/><Relationship Id="rId195" Type="http://schemas.openxmlformats.org/officeDocument/2006/relationships/image" Target="media/image87.wmf"/><Relationship Id="rId194" Type="http://schemas.openxmlformats.org/officeDocument/2006/relationships/oleObject" Target="embeddings/oleObject96.bin"/><Relationship Id="rId193" Type="http://schemas.openxmlformats.org/officeDocument/2006/relationships/image" Target="media/image86.wmf"/><Relationship Id="rId192" Type="http://schemas.openxmlformats.org/officeDocument/2006/relationships/oleObject" Target="embeddings/oleObject95.bin"/><Relationship Id="rId191" Type="http://schemas.openxmlformats.org/officeDocument/2006/relationships/image" Target="media/image85.wmf"/><Relationship Id="rId190" Type="http://schemas.openxmlformats.org/officeDocument/2006/relationships/oleObject" Target="embeddings/oleObject94.bin"/><Relationship Id="rId19" Type="http://schemas.openxmlformats.org/officeDocument/2006/relationships/oleObject" Target="embeddings/oleObject4.bin"/><Relationship Id="rId189" Type="http://schemas.openxmlformats.org/officeDocument/2006/relationships/image" Target="media/image84.wmf"/><Relationship Id="rId188" Type="http://schemas.openxmlformats.org/officeDocument/2006/relationships/oleObject" Target="embeddings/oleObject93.bin"/><Relationship Id="rId187" Type="http://schemas.openxmlformats.org/officeDocument/2006/relationships/image" Target="media/image83.wmf"/><Relationship Id="rId186" Type="http://schemas.openxmlformats.org/officeDocument/2006/relationships/oleObject" Target="embeddings/oleObject92.bin"/><Relationship Id="rId185" Type="http://schemas.openxmlformats.org/officeDocument/2006/relationships/image" Target="media/image82.wmf"/><Relationship Id="rId184" Type="http://schemas.openxmlformats.org/officeDocument/2006/relationships/oleObject" Target="embeddings/oleObject91.bin"/><Relationship Id="rId183" Type="http://schemas.openxmlformats.org/officeDocument/2006/relationships/image" Target="media/image81.wmf"/><Relationship Id="rId182" Type="http://schemas.openxmlformats.org/officeDocument/2006/relationships/oleObject" Target="embeddings/oleObject90.bin"/><Relationship Id="rId181" Type="http://schemas.openxmlformats.org/officeDocument/2006/relationships/image" Target="media/image80.wmf"/><Relationship Id="rId180" Type="http://schemas.openxmlformats.org/officeDocument/2006/relationships/oleObject" Target="embeddings/oleObject89.bin"/><Relationship Id="rId18" Type="http://schemas.openxmlformats.org/officeDocument/2006/relationships/image" Target="media/image3.wmf"/><Relationship Id="rId179" Type="http://schemas.openxmlformats.org/officeDocument/2006/relationships/oleObject" Target="embeddings/oleObject88.bin"/><Relationship Id="rId178" Type="http://schemas.openxmlformats.org/officeDocument/2006/relationships/image" Target="media/image79.wmf"/><Relationship Id="rId177" Type="http://schemas.openxmlformats.org/officeDocument/2006/relationships/oleObject" Target="embeddings/oleObject87.bin"/><Relationship Id="rId176" Type="http://schemas.openxmlformats.org/officeDocument/2006/relationships/image" Target="media/image78.wmf"/><Relationship Id="rId175" Type="http://schemas.openxmlformats.org/officeDocument/2006/relationships/oleObject" Target="embeddings/oleObject86.bin"/><Relationship Id="rId174" Type="http://schemas.openxmlformats.org/officeDocument/2006/relationships/image" Target="media/image77.wmf"/><Relationship Id="rId173" Type="http://schemas.openxmlformats.org/officeDocument/2006/relationships/oleObject" Target="embeddings/oleObject85.bin"/><Relationship Id="rId172" Type="http://schemas.openxmlformats.org/officeDocument/2006/relationships/image" Target="media/image76.wmf"/><Relationship Id="rId171" Type="http://schemas.openxmlformats.org/officeDocument/2006/relationships/oleObject" Target="embeddings/oleObject84.bin"/><Relationship Id="rId170" Type="http://schemas.openxmlformats.org/officeDocument/2006/relationships/image" Target="media/image75.wmf"/><Relationship Id="rId17" Type="http://schemas.openxmlformats.org/officeDocument/2006/relationships/oleObject" Target="embeddings/oleObject3.bin"/><Relationship Id="rId169" Type="http://schemas.openxmlformats.org/officeDocument/2006/relationships/oleObject" Target="embeddings/oleObject83.bin"/><Relationship Id="rId168" Type="http://schemas.openxmlformats.org/officeDocument/2006/relationships/oleObject" Target="embeddings/oleObject82.bin"/><Relationship Id="rId167" Type="http://schemas.openxmlformats.org/officeDocument/2006/relationships/image" Target="media/image74.wmf"/><Relationship Id="rId166" Type="http://schemas.openxmlformats.org/officeDocument/2006/relationships/oleObject" Target="embeddings/oleObject81.bin"/><Relationship Id="rId165" Type="http://schemas.openxmlformats.org/officeDocument/2006/relationships/oleObject" Target="embeddings/oleObject80.bin"/><Relationship Id="rId164" Type="http://schemas.openxmlformats.org/officeDocument/2006/relationships/image" Target="media/image73.wmf"/><Relationship Id="rId163" Type="http://schemas.openxmlformats.org/officeDocument/2006/relationships/oleObject" Target="embeddings/oleObject79.bin"/><Relationship Id="rId162" Type="http://schemas.openxmlformats.org/officeDocument/2006/relationships/image" Target="media/image72.wmf"/><Relationship Id="rId161" Type="http://schemas.openxmlformats.org/officeDocument/2006/relationships/oleObject" Target="embeddings/oleObject78.bin"/><Relationship Id="rId160" Type="http://schemas.openxmlformats.org/officeDocument/2006/relationships/oleObject" Target="embeddings/oleObject77.bin"/><Relationship Id="rId16" Type="http://schemas.openxmlformats.org/officeDocument/2006/relationships/image" Target="media/image2.wmf"/><Relationship Id="rId159" Type="http://schemas.openxmlformats.org/officeDocument/2006/relationships/image" Target="media/image71.wmf"/><Relationship Id="rId158" Type="http://schemas.openxmlformats.org/officeDocument/2006/relationships/oleObject" Target="embeddings/oleObject76.bin"/><Relationship Id="rId157" Type="http://schemas.openxmlformats.org/officeDocument/2006/relationships/image" Target="media/image70.wmf"/><Relationship Id="rId156" Type="http://schemas.openxmlformats.org/officeDocument/2006/relationships/oleObject" Target="embeddings/oleObject75.bin"/><Relationship Id="rId155" Type="http://schemas.openxmlformats.org/officeDocument/2006/relationships/image" Target="media/image69.wmf"/><Relationship Id="rId154" Type="http://schemas.openxmlformats.org/officeDocument/2006/relationships/oleObject" Target="embeddings/oleObject74.bin"/><Relationship Id="rId153" Type="http://schemas.openxmlformats.org/officeDocument/2006/relationships/image" Target="media/image68.wmf"/><Relationship Id="rId152" Type="http://schemas.openxmlformats.org/officeDocument/2006/relationships/oleObject" Target="embeddings/oleObject73.bin"/><Relationship Id="rId151" Type="http://schemas.openxmlformats.org/officeDocument/2006/relationships/image" Target="media/image67.wmf"/><Relationship Id="rId150" Type="http://schemas.openxmlformats.org/officeDocument/2006/relationships/oleObject" Target="embeddings/oleObject72.bin"/><Relationship Id="rId15" Type="http://schemas.openxmlformats.org/officeDocument/2006/relationships/oleObject" Target="embeddings/oleObject2.bin"/><Relationship Id="rId149" Type="http://schemas.openxmlformats.org/officeDocument/2006/relationships/image" Target="media/image66.wmf"/><Relationship Id="rId148" Type="http://schemas.openxmlformats.org/officeDocument/2006/relationships/oleObject" Target="embeddings/oleObject71.bin"/><Relationship Id="rId147" Type="http://schemas.openxmlformats.org/officeDocument/2006/relationships/image" Target="media/image65.wmf"/><Relationship Id="rId146" Type="http://schemas.openxmlformats.org/officeDocument/2006/relationships/oleObject" Target="embeddings/oleObject70.bin"/><Relationship Id="rId145" Type="http://schemas.openxmlformats.org/officeDocument/2006/relationships/image" Target="media/image64.wmf"/><Relationship Id="rId144" Type="http://schemas.openxmlformats.org/officeDocument/2006/relationships/oleObject" Target="embeddings/oleObject69.bin"/><Relationship Id="rId143" Type="http://schemas.openxmlformats.org/officeDocument/2006/relationships/image" Target="media/image63.wmf"/><Relationship Id="rId142" Type="http://schemas.openxmlformats.org/officeDocument/2006/relationships/oleObject" Target="embeddings/oleObject68.bin"/><Relationship Id="rId141" Type="http://schemas.openxmlformats.org/officeDocument/2006/relationships/image" Target="media/image62.wmf"/><Relationship Id="rId140" Type="http://schemas.openxmlformats.org/officeDocument/2006/relationships/oleObject" Target="embeddings/oleObject67.bin"/><Relationship Id="rId14" Type="http://schemas.openxmlformats.org/officeDocument/2006/relationships/image" Target="media/image1.wmf"/><Relationship Id="rId139" Type="http://schemas.openxmlformats.org/officeDocument/2006/relationships/image" Target="media/image61.wmf"/><Relationship Id="rId138" Type="http://schemas.openxmlformats.org/officeDocument/2006/relationships/oleObject" Target="embeddings/oleObject66.bin"/><Relationship Id="rId137" Type="http://schemas.openxmlformats.org/officeDocument/2006/relationships/image" Target="media/image60.wmf"/><Relationship Id="rId136" Type="http://schemas.openxmlformats.org/officeDocument/2006/relationships/oleObject" Target="embeddings/oleObject65.bin"/><Relationship Id="rId135" Type="http://schemas.openxmlformats.org/officeDocument/2006/relationships/image" Target="media/image59.wmf"/><Relationship Id="rId134" Type="http://schemas.openxmlformats.org/officeDocument/2006/relationships/oleObject" Target="embeddings/oleObject64.bin"/><Relationship Id="rId133" Type="http://schemas.openxmlformats.org/officeDocument/2006/relationships/image" Target="media/image58.wmf"/><Relationship Id="rId132" Type="http://schemas.openxmlformats.org/officeDocument/2006/relationships/oleObject" Target="embeddings/oleObject63.bin"/><Relationship Id="rId131" Type="http://schemas.openxmlformats.org/officeDocument/2006/relationships/image" Target="media/image57.wmf"/><Relationship Id="rId130" Type="http://schemas.openxmlformats.org/officeDocument/2006/relationships/oleObject" Target="embeddings/oleObject62.bin"/><Relationship Id="rId13" Type="http://schemas.openxmlformats.org/officeDocument/2006/relationships/oleObject" Target="embeddings/oleObject1.bin"/><Relationship Id="rId129" Type="http://schemas.openxmlformats.org/officeDocument/2006/relationships/image" Target="media/image56.wmf"/><Relationship Id="rId128" Type="http://schemas.openxmlformats.org/officeDocument/2006/relationships/oleObject" Target="embeddings/oleObject61.bin"/><Relationship Id="rId127" Type="http://schemas.openxmlformats.org/officeDocument/2006/relationships/image" Target="media/image55.wmf"/><Relationship Id="rId126" Type="http://schemas.openxmlformats.org/officeDocument/2006/relationships/oleObject" Target="embeddings/oleObject60.bin"/><Relationship Id="rId125" Type="http://schemas.openxmlformats.org/officeDocument/2006/relationships/image" Target="media/image54.wmf"/><Relationship Id="rId124" Type="http://schemas.openxmlformats.org/officeDocument/2006/relationships/oleObject" Target="embeddings/oleObject59.bin"/><Relationship Id="rId123" Type="http://schemas.openxmlformats.org/officeDocument/2006/relationships/image" Target="media/image53.wmf"/><Relationship Id="rId122" Type="http://schemas.openxmlformats.org/officeDocument/2006/relationships/oleObject" Target="embeddings/oleObject58.bin"/><Relationship Id="rId121" Type="http://schemas.openxmlformats.org/officeDocument/2006/relationships/image" Target="media/image52.wmf"/><Relationship Id="rId120" Type="http://schemas.openxmlformats.org/officeDocument/2006/relationships/oleObject" Target="embeddings/oleObject57.bin"/><Relationship Id="rId12" Type="http://schemas.openxmlformats.org/officeDocument/2006/relationships/theme" Target="theme/theme1.xml"/><Relationship Id="rId119" Type="http://schemas.openxmlformats.org/officeDocument/2006/relationships/image" Target="media/image51.wmf"/><Relationship Id="rId118" Type="http://schemas.openxmlformats.org/officeDocument/2006/relationships/oleObject" Target="embeddings/oleObject56.bin"/><Relationship Id="rId117" Type="http://schemas.openxmlformats.org/officeDocument/2006/relationships/image" Target="media/image50.wmf"/><Relationship Id="rId116" Type="http://schemas.openxmlformats.org/officeDocument/2006/relationships/oleObject" Target="embeddings/oleObject55.bin"/><Relationship Id="rId115" Type="http://schemas.openxmlformats.org/officeDocument/2006/relationships/image" Target="media/image49.wmf"/><Relationship Id="rId114" Type="http://schemas.openxmlformats.org/officeDocument/2006/relationships/oleObject" Target="embeddings/oleObject54.bin"/><Relationship Id="rId113" Type="http://schemas.openxmlformats.org/officeDocument/2006/relationships/image" Target="media/image48.wmf"/><Relationship Id="rId112" Type="http://schemas.openxmlformats.org/officeDocument/2006/relationships/oleObject" Target="embeddings/oleObject53.bin"/><Relationship Id="rId111" Type="http://schemas.openxmlformats.org/officeDocument/2006/relationships/image" Target="media/image47.wmf"/><Relationship Id="rId110" Type="http://schemas.openxmlformats.org/officeDocument/2006/relationships/oleObject" Target="embeddings/oleObject52.bin"/><Relationship Id="rId11" Type="http://schemas.openxmlformats.org/officeDocument/2006/relationships/header" Target="header4.xml"/><Relationship Id="rId109" Type="http://schemas.openxmlformats.org/officeDocument/2006/relationships/image" Target="media/image46.wmf"/><Relationship Id="rId108" Type="http://schemas.openxmlformats.org/officeDocument/2006/relationships/oleObject" Target="embeddings/oleObject51.bin"/><Relationship Id="rId107" Type="http://schemas.openxmlformats.org/officeDocument/2006/relationships/image" Target="media/image45.wmf"/><Relationship Id="rId106" Type="http://schemas.openxmlformats.org/officeDocument/2006/relationships/oleObject" Target="embeddings/oleObject50.bin"/><Relationship Id="rId105" Type="http://schemas.openxmlformats.org/officeDocument/2006/relationships/image" Target="media/image44.wmf"/><Relationship Id="rId104" Type="http://schemas.openxmlformats.org/officeDocument/2006/relationships/oleObject" Target="embeddings/oleObject49.bin"/><Relationship Id="rId103" Type="http://schemas.openxmlformats.org/officeDocument/2006/relationships/oleObject" Target="embeddings/oleObject48.bin"/><Relationship Id="rId102" Type="http://schemas.openxmlformats.org/officeDocument/2006/relationships/image" Target="media/image43.wmf"/><Relationship Id="rId101" Type="http://schemas.openxmlformats.org/officeDocument/2006/relationships/oleObject" Target="embeddings/oleObject47.bin"/><Relationship Id="rId100" Type="http://schemas.openxmlformats.org/officeDocument/2006/relationships/image" Target="media/image42.wmf"/><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_rels/numbering.xml.rels><?xml version="1.0" encoding="UTF-8" standalone="yes"?>
<Relationships xmlns="http://schemas.openxmlformats.org/package/2006/relationships"><Relationship Id="rId1" Type="http://schemas.openxmlformats.org/officeDocument/2006/relationships/image" Target="media/image12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IST02.XSL" StyleName="SIST02" Version="2003">
  <b:Source>
    <b:Tag>管丽萍09</b:Tag>
    <b:SourceType>ArticleInAPeriodical</b:SourceType>
    <b:Guid>{DDA54E9E-F012-42F0-815E-E48C904F754A}</b:Guid>
    <b:Title>交通事件管理系统研究现状综述</b:Title>
    <b:PeriodicalTitle>中外公路</b:PeriodicalTitle>
    <b:Year>2009</b:Year>
    <b:Pages>255-261</b:Pages>
    <b:Author>
      <b:Author>
        <b:Corporate>管丽萍, &amp; 尹湘源</b:Corporate>
      </b:Author>
    </b:Author>
    <b:LCID>zh-CN</b:LCID>
    <b:RefOrder>1</b:RefOrder>
  </b:Source>
  <b:Source>
    <b:Tag>朱茵，07</b:Tag>
    <b:SourceType>Book</b:SourceType>
    <b:Guid>{A513A0AC-5A39-4915-A407-E376A36553A2}</b:Guid>
    <b:Title>周彤梅.智能交通系统导论</b:Title>
    <b:Year>2007</b:Year>
    <b:Author>
      <b:Author>
        <b:Corporate>朱茵，王军利</b:Corporate>
      </b:Author>
    </b:Author>
    <b:City>北京</b:City>
    <b:Publisher>中国人民公安大学出版社</b:Publisher>
    <b:RefOrder>2</b:RefOrder>
  </b:Source>
  <b:Source>
    <b:Tag>叶奇明08</b:Tag>
    <b:SourceType>ArticleInAPeriodical</b:SourceType>
    <b:Guid>{09230154-A347-4F1E-9162-4C354F86325E}</b:Guid>
    <b:Title>Floyd算法的演示模型研究</b:Title>
    <b:Year>2008</b:Year>
    <b:Pages>47-50</b:Pages>
    <b:Author>
      <b:Author>
        <b:Corporate>叶奇明，石世光</b:Corporate>
      </b:Author>
    </b:Author>
    <b:PeriodicalTitle>海南大学学报自然科学版</b:PeriodicalTitle>
    <b:RefOrder>3</b:RefOrder>
  </b:Source>
</b:Sources>
</file>

<file path=customXml/itemProps1.xml><?xml version="1.0" encoding="utf-8"?>
<ds:datastoreItem xmlns:ds="http://schemas.openxmlformats.org/officeDocument/2006/customXml" ds:itemID="{1E9A3978-A7F6-4CF9-8441-E7735FE0B71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5378</Words>
  <Characters>31955</Characters>
  <Lines>1546</Lines>
  <Paragraphs>1012</Paragraphs>
  <TotalTime>16</TotalTime>
  <ScaleCrop>false</ScaleCrop>
  <LinksUpToDate>false</LinksUpToDate>
  <CharactersWithSpaces>39154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2020-11-19T05:53:00Z</dcterms:created>
  <dc:creator>sxjm qf</dc:creator>
  <cp:lastModifiedBy>张臻</cp:lastModifiedBy>
  <cp:lastPrinted>2026-02-02T23:43:00Z</cp:lastPrinted>
  <dcterms:modified xsi:type="dcterms:W3CDTF">2026-02-03T00:46:32Z</dcterms:modified>
  <cp:revision>475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WinEqns">
    <vt:bool>true</vt:bool>
  </property>
  <property fmtid="{D5CDD505-2E9C-101B-9397-08002B2CF9AE}" pid="3" name="MTEquationNumber2">
    <vt:lpwstr>(#S1.#E1)</vt:lpwstr>
  </property>
  <property fmtid="{D5CDD505-2E9C-101B-9397-08002B2CF9AE}" pid="4" name="AMEquationSection">
    <vt:lpwstr>1</vt:lpwstr>
  </property>
  <property fmtid="{D5CDD505-2E9C-101B-9397-08002B2CF9AE}" pid="5" name="AMEquationNumber2">
    <vt:lpwstr>(#E1)</vt:lpwstr>
  </property>
  <property fmtid="{D5CDD505-2E9C-101B-9397-08002B2CF9AE}" pid="6" name="AMDeferFieldUpdate">
    <vt:lpwstr>1</vt:lpwstr>
  </property>
  <property fmtid="{D5CDD505-2E9C-101B-9397-08002B2CF9AE}" pid="7" name="KSOTemplateDocerSaveRecord">
    <vt:lpwstr>eyJoZGlkIjoiMzEwNTM5NzYwMDRjMzkwZTVkZjY2ODkwMGIxNGU0OTUiLCJ1c2VySWQiOiIxNjM0NDE5Njc1In0=</vt:lpwstr>
  </property>
  <property fmtid="{D5CDD505-2E9C-101B-9397-08002B2CF9AE}" pid="8" name="KSOProductBuildVer">
    <vt:lpwstr>2052-12.1.0.24657</vt:lpwstr>
  </property>
  <property fmtid="{D5CDD505-2E9C-101B-9397-08002B2CF9AE}" pid="9" name="ICV">
    <vt:lpwstr>12DCF29ADDA84A7E90981C8F7BB1BD8B_12</vt:lpwstr>
  </property>
</Properties>
</file>